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340573" w:rsidRDefault="00B80138" w:rsidP="0035656C">
      <w:pPr>
        <w:spacing w:line="360" w:lineRule="auto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7595A0A" w14:textId="77777777" w:rsidR="0035656C" w:rsidRPr="00473009" w:rsidRDefault="001B7FD6" w:rsidP="0035656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B7FD6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 </w:t>
      </w:r>
      <w:r w:rsidRPr="001B7FD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35656C" w:rsidRPr="0047300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35656C">
        <w:rPr>
          <w:rFonts w:asciiTheme="minorHAnsi" w:hAnsiTheme="minorHAnsi" w:cstheme="minorHAnsi"/>
          <w:bCs/>
          <w:sz w:val="22"/>
          <w:szCs w:val="22"/>
          <w:lang w:eastAsia="zh-CN"/>
        </w:rPr>
        <w:t>14.02</w:t>
      </w:r>
      <w:r w:rsidR="0035656C" w:rsidRPr="00473009">
        <w:rPr>
          <w:rFonts w:asciiTheme="minorHAnsi" w:hAnsiTheme="minorHAnsi" w:cstheme="minorHAnsi"/>
          <w:bCs/>
          <w:sz w:val="22"/>
          <w:szCs w:val="22"/>
          <w:lang w:eastAsia="zh-CN"/>
        </w:rPr>
        <w:t>.202</w:t>
      </w:r>
      <w:r w:rsidR="0035656C"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="0035656C" w:rsidRPr="0047300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r.</w:t>
      </w:r>
    </w:p>
    <w:p w14:paraId="49E016DC" w14:textId="77777777" w:rsidR="0035656C" w:rsidRPr="00473009" w:rsidRDefault="0035656C" w:rsidP="0035656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4D9DEF9" w14:textId="77777777" w:rsidR="0035656C" w:rsidRPr="00473009" w:rsidRDefault="0035656C" w:rsidP="0035656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17</w:t>
      </w:r>
      <w:r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.202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5.EM</w:t>
      </w:r>
    </w:p>
    <w:p w14:paraId="254BC343" w14:textId="77777777" w:rsidR="0035656C" w:rsidRDefault="0035656C" w:rsidP="0035656C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668E9BC8" w14:textId="77777777" w:rsidR="0035656C" w:rsidRDefault="0035656C" w:rsidP="0035656C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lang w:val="fr-FR" w:eastAsia="en-US"/>
        </w:rPr>
      </w:pPr>
      <w:r w:rsidRPr="00473009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473009">
        <w:rPr>
          <w:rFonts w:asciiTheme="minorHAnsi" w:eastAsiaTheme="minorHAnsi" w:hAnsiTheme="minorHAnsi" w:cstheme="minorHAnsi"/>
          <w:lang w:val="fr-FR" w:eastAsia="en-US"/>
        </w:rPr>
        <w:t xml:space="preserve"> </w:t>
      </w:r>
      <w:bookmarkStart w:id="2" w:name="_Hlk129603495"/>
      <w:r w:rsidRPr="00473009">
        <w:rPr>
          <w:rFonts w:asciiTheme="minorHAnsi" w:eastAsiaTheme="minorHAnsi" w:hAnsiTheme="minorHAnsi" w:cstheme="minorHAnsi"/>
          <w:lang w:val="fr-FR" w:eastAsia="en-US"/>
        </w:rPr>
        <w:t xml:space="preserve">  </w:t>
      </w:r>
      <w:bookmarkEnd w:id="0"/>
      <w:bookmarkEnd w:id="1"/>
      <w:bookmarkEnd w:id="2"/>
    </w:p>
    <w:p w14:paraId="07FB3B93" w14:textId="77777777" w:rsidR="0035656C" w:rsidRPr="00886895" w:rsidRDefault="0035656C" w:rsidP="0035656C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/>
          <w:bCs/>
          <w:lang w:val="fr-FR" w:eastAsia="en-US"/>
        </w:rPr>
      </w:pPr>
      <w:bookmarkStart w:id="3" w:name="_Hlk190343310"/>
      <w:r w:rsidRPr="00886895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Dostawa odczynników do badań immunohematologicznych </w:t>
      </w:r>
    </w:p>
    <w:bookmarkEnd w:id="3"/>
    <w:p w14:paraId="4C2929CE" w14:textId="77777777" w:rsidR="0035656C" w:rsidRPr="00473009" w:rsidRDefault="0035656C" w:rsidP="0035656C">
      <w:pPr>
        <w:pStyle w:val="Listapunktowana21"/>
        <w:ind w:left="0" w:firstLine="0"/>
        <w:rPr>
          <w:rFonts w:asciiTheme="minorHAnsi" w:hAnsiTheme="minorHAnsi" w:cstheme="minorHAnsi"/>
        </w:rPr>
      </w:pPr>
    </w:p>
    <w:p w14:paraId="62358E8A" w14:textId="77777777" w:rsidR="0035656C" w:rsidRPr="00473009" w:rsidRDefault="0035656C" w:rsidP="0035656C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473009">
        <w:rPr>
          <w:rFonts w:asciiTheme="minorHAnsi" w:hAnsiTheme="minorHAnsi" w:cstheme="minorHAnsi"/>
          <w:sz w:val="22"/>
          <w:szCs w:val="22"/>
          <w:lang w:eastAsia="zh-CN"/>
        </w:rPr>
        <w:t>Regionalne Centrum Krwiodawstwa i Krwiolecznictwa w Lublinie, działając w oparciu  o zapisy art. 284 ust. 1 i ust. 2 ustawy z dnia 11 września 2019 r. Prawo zamówień publicznych przekazuje treść zapytań wraz z wyjaśnieniami:</w:t>
      </w:r>
    </w:p>
    <w:p w14:paraId="3BAA21A5" w14:textId="77777777" w:rsidR="0035656C" w:rsidRDefault="0035656C" w:rsidP="0035656C">
      <w:pPr>
        <w:ind w:left="5245"/>
        <w:rPr>
          <w:b/>
          <w:bCs/>
          <w:sz w:val="22"/>
          <w:szCs w:val="22"/>
        </w:rPr>
      </w:pPr>
    </w:p>
    <w:p w14:paraId="08D984CC" w14:textId="77777777" w:rsidR="0035656C" w:rsidRPr="005D1D87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D87">
        <w:rPr>
          <w:rFonts w:asciiTheme="minorHAnsi" w:hAnsiTheme="minorHAnsi" w:cstheme="minorHAnsi"/>
          <w:sz w:val="22"/>
          <w:szCs w:val="22"/>
          <w:u w:val="single"/>
        </w:rPr>
        <w:t>1. Pytanie do Części 4</w:t>
      </w:r>
    </w:p>
    <w:p w14:paraId="1BC82F06" w14:textId="77777777" w:rsidR="0035656C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 xml:space="preserve">Czy Zamawiający wymaga w pozycji nr 1 odczynnik </w:t>
      </w:r>
      <w:proofErr w:type="spellStart"/>
      <w:r w:rsidRPr="00886895">
        <w:rPr>
          <w:rFonts w:asciiTheme="minorHAnsi" w:hAnsiTheme="minorHAnsi" w:cstheme="minorHAnsi"/>
          <w:sz w:val="22"/>
          <w:szCs w:val="22"/>
        </w:rPr>
        <w:t>antyglobulinowy</w:t>
      </w:r>
      <w:proofErr w:type="spellEnd"/>
      <w:r w:rsidRPr="00886895">
        <w:rPr>
          <w:rFonts w:asciiTheme="minorHAnsi" w:hAnsiTheme="minorHAnsi" w:cstheme="minorHAnsi"/>
          <w:sz w:val="22"/>
          <w:szCs w:val="22"/>
        </w:rPr>
        <w:t xml:space="preserve"> poliwalentny barwiony (AHG)?</w:t>
      </w:r>
    </w:p>
    <w:p w14:paraId="69C0B366" w14:textId="77777777" w:rsidR="0035656C" w:rsidRPr="002F413A" w:rsidRDefault="0035656C" w:rsidP="0035656C">
      <w:pPr>
        <w:pStyle w:val="Teksttreci1"/>
        <w:spacing w:before="0" w:after="0" w:line="240" w:lineRule="auto"/>
        <w:ind w:right="260"/>
        <w:jc w:val="both"/>
        <w:rPr>
          <w:rStyle w:val="Teksttreci"/>
          <w:rFonts w:cstheme="minorHAnsi"/>
          <w:b/>
          <w:bCs/>
          <w:color w:val="000000"/>
        </w:rPr>
      </w:pPr>
      <w:bookmarkStart w:id="4" w:name="_Hlk190332874"/>
      <w:r w:rsidRPr="002F413A">
        <w:rPr>
          <w:rStyle w:val="Teksttreci"/>
          <w:rFonts w:cstheme="minorHAnsi"/>
          <w:b/>
          <w:bCs/>
          <w:color w:val="000000"/>
        </w:rPr>
        <w:t xml:space="preserve">Odpowiedź: </w:t>
      </w:r>
      <w:r>
        <w:rPr>
          <w:rStyle w:val="Teksttreci"/>
          <w:rFonts w:cstheme="minorHAnsi"/>
          <w:b/>
          <w:bCs/>
          <w:color w:val="000000"/>
        </w:rPr>
        <w:t>Nie</w:t>
      </w:r>
      <w:r w:rsidRPr="002F413A">
        <w:rPr>
          <w:rStyle w:val="Teksttreci"/>
          <w:rFonts w:cstheme="minorHAnsi"/>
          <w:b/>
          <w:bCs/>
          <w:color w:val="000000"/>
        </w:rPr>
        <w:t>. Zamawiający</w:t>
      </w:r>
      <w:r>
        <w:rPr>
          <w:rStyle w:val="Teksttreci"/>
          <w:rFonts w:cstheme="minorHAnsi"/>
          <w:b/>
          <w:bCs/>
          <w:color w:val="000000"/>
        </w:rPr>
        <w:t xml:space="preserve"> wymaga zgodnie z SWZ.</w:t>
      </w:r>
    </w:p>
    <w:bookmarkEnd w:id="4"/>
    <w:p w14:paraId="20AF2F11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D5EF0" w14:textId="77777777" w:rsidR="0035656C" w:rsidRPr="005D1D87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D87">
        <w:rPr>
          <w:rFonts w:asciiTheme="minorHAnsi" w:hAnsiTheme="minorHAnsi" w:cstheme="minorHAnsi"/>
          <w:sz w:val="22"/>
          <w:szCs w:val="22"/>
          <w:u w:val="single"/>
        </w:rPr>
        <w:t>2. Pytanie do Załącznika nr 1 – Projektowane postanowienia umowy</w:t>
      </w:r>
    </w:p>
    <w:p w14:paraId="45200D21" w14:textId="77777777" w:rsidR="0035656C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Czy Zamawiający może zagwarantować realizację przedmiotu zamówienia na poziomie nie mniejszym niż 80%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ilości wyszczególnionych w formularzu cenowym?</w:t>
      </w:r>
    </w:p>
    <w:p w14:paraId="79A49336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9B071DC" w14:textId="77777777" w:rsidR="0035656C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Poziom realizacji umowy wskazany przez Zamawiającego, na poziomie 50% prowadzi do sytuacji, w której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Wykonawca pomimo zabezpieczenia realizacji umowy (pracowników, towaru innych), może nie być zobowiązany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do jej realizacji, ponosząc przy tym straty. Oczywiście Zamawiający może odmówić podwyższenia poziomu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realizacji przedmiotu zamówienia, wpłynie do jednak na wycenę oferty dokonaną przez Wykonawcę.</w:t>
      </w:r>
    </w:p>
    <w:p w14:paraId="410CC67C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2275A6A" w14:textId="77777777" w:rsidR="0035656C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Nasze zapytanie ma na celu ochronę Wykonawcy przez ewentualnymi stratami wynikającymi z konieczności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zabezpieczenia kompleksowej realizacji umowy, w sytuacji gdy faktyczny zakres świadczenia ulegnie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drastycznemu zmniejszeniu o 50%. Postanowienia przyszłej umowy powinny zabezpieczać Wykonawcę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nieograniczonym zmniejszaniem świadczenia przez Zamawiającego w trakcie jego wykonywania, co przekłada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się niewątpliwe na możliwości oszacowania przez Wykonawcę ubiegającego się o udzielenie zamówienia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i zabezpieczenia jego interesów.</w:t>
      </w:r>
    </w:p>
    <w:p w14:paraId="5AC46667" w14:textId="77777777" w:rsidR="0035656C" w:rsidRPr="00102CFB" w:rsidRDefault="0035656C" w:rsidP="0035656C">
      <w:pPr>
        <w:keepNext/>
        <w:keepLines/>
        <w:widowControl w:val="0"/>
        <w:spacing w:line="264" w:lineRule="exact"/>
        <w:jc w:val="both"/>
        <w:outlineLvl w:val="1"/>
        <w:rPr>
          <w:rFonts w:ascii="Calibri" w:hAnsi="Calibri" w:cs="Calibri"/>
          <w:b/>
          <w:bCs/>
          <w:sz w:val="22"/>
          <w:szCs w:val="22"/>
        </w:rPr>
      </w:pPr>
      <w:bookmarkStart w:id="5" w:name="bookmark8"/>
      <w:r w:rsidRPr="00102CFB">
        <w:rPr>
          <w:rFonts w:ascii="Calibri" w:hAnsi="Calibri" w:cs="Calibri"/>
          <w:b/>
          <w:bCs/>
          <w:color w:val="000000"/>
          <w:sz w:val="22"/>
          <w:szCs w:val="22"/>
        </w:rPr>
        <w:t>Odpowiedź: Zamawiający podtrzymuje zapisy SWZ.</w:t>
      </w:r>
      <w:bookmarkEnd w:id="5"/>
    </w:p>
    <w:p w14:paraId="3B996BB7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60D59" w14:textId="77777777" w:rsidR="0035656C" w:rsidRPr="005D1D87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D87">
        <w:rPr>
          <w:rFonts w:asciiTheme="minorHAnsi" w:hAnsiTheme="minorHAnsi" w:cstheme="minorHAnsi"/>
          <w:sz w:val="22"/>
          <w:szCs w:val="22"/>
          <w:u w:val="single"/>
        </w:rPr>
        <w:t>3. Prosimy o wyjaśnienie czy do oferty należy załączyć katalogi lub instrukcje używania (ulotki)?</w:t>
      </w:r>
    </w:p>
    <w:p w14:paraId="53FAB5D8" w14:textId="77777777" w:rsidR="0035656C" w:rsidRPr="002F413A" w:rsidRDefault="0035656C" w:rsidP="0035656C">
      <w:pPr>
        <w:pStyle w:val="Teksttreci1"/>
        <w:spacing w:before="0" w:after="0" w:line="240" w:lineRule="auto"/>
        <w:ind w:right="260"/>
        <w:jc w:val="both"/>
        <w:rPr>
          <w:rStyle w:val="Teksttreci"/>
          <w:rFonts w:cstheme="minorHAnsi"/>
          <w:b/>
          <w:bCs/>
          <w:color w:val="000000"/>
        </w:rPr>
      </w:pPr>
      <w:r w:rsidRPr="002F413A">
        <w:rPr>
          <w:rStyle w:val="Teksttreci"/>
          <w:rFonts w:cstheme="minorHAnsi"/>
          <w:b/>
          <w:bCs/>
          <w:color w:val="000000"/>
        </w:rPr>
        <w:t>Odpowiedź: Zamawiający</w:t>
      </w:r>
      <w:r>
        <w:rPr>
          <w:rStyle w:val="Teksttreci"/>
          <w:rFonts w:cstheme="minorHAnsi"/>
          <w:b/>
          <w:bCs/>
          <w:color w:val="000000"/>
        </w:rPr>
        <w:t xml:space="preserve"> wymaga zgodnie z SWZ. Katalogi, instrukcje, ulotki należy </w:t>
      </w:r>
      <w:r w:rsidRPr="005D1D87">
        <w:rPr>
          <w:rStyle w:val="Teksttreci"/>
          <w:rFonts w:cstheme="minorHAnsi"/>
          <w:b/>
          <w:bCs/>
          <w:color w:val="000000"/>
        </w:rPr>
        <w:t>dostarcz</w:t>
      </w:r>
      <w:r>
        <w:rPr>
          <w:rStyle w:val="Teksttreci"/>
          <w:rFonts w:cstheme="minorHAnsi"/>
          <w:b/>
          <w:bCs/>
          <w:color w:val="000000"/>
        </w:rPr>
        <w:t>yć</w:t>
      </w:r>
      <w:r w:rsidRPr="005D1D87">
        <w:rPr>
          <w:rStyle w:val="Teksttreci"/>
          <w:rFonts w:cstheme="minorHAnsi"/>
          <w:b/>
          <w:bCs/>
          <w:color w:val="000000"/>
        </w:rPr>
        <w:t xml:space="preserve"> wraz z pierwszą dostawą oraz po każdej zmianie (aktualizacji)</w:t>
      </w:r>
      <w:r>
        <w:rPr>
          <w:rStyle w:val="Teksttreci"/>
          <w:rFonts w:cstheme="minorHAnsi"/>
          <w:b/>
          <w:bCs/>
          <w:color w:val="000000"/>
        </w:rPr>
        <w:t>.</w:t>
      </w:r>
    </w:p>
    <w:p w14:paraId="541F073E" w14:textId="77777777" w:rsidR="0035656C" w:rsidRDefault="0035656C" w:rsidP="003565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5C551" w14:textId="77777777" w:rsidR="0035656C" w:rsidRPr="005D1D87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D87">
        <w:rPr>
          <w:rFonts w:asciiTheme="minorHAnsi" w:hAnsiTheme="minorHAnsi" w:cstheme="minorHAnsi"/>
          <w:sz w:val="22"/>
          <w:szCs w:val="22"/>
          <w:u w:val="single"/>
        </w:rPr>
        <w:t xml:space="preserve">4. Zapytanie do załącznika nr 3 do </w:t>
      </w:r>
      <w:proofErr w:type="spellStart"/>
      <w:r w:rsidRPr="005D1D87">
        <w:rPr>
          <w:rFonts w:asciiTheme="minorHAnsi" w:hAnsiTheme="minorHAnsi" w:cstheme="minorHAnsi"/>
          <w:sz w:val="22"/>
          <w:szCs w:val="22"/>
          <w:u w:val="single"/>
        </w:rPr>
        <w:t>swz</w:t>
      </w:r>
      <w:proofErr w:type="spellEnd"/>
      <w:r w:rsidRPr="005D1D87">
        <w:rPr>
          <w:rFonts w:asciiTheme="minorHAnsi" w:hAnsiTheme="minorHAnsi" w:cstheme="minorHAnsi"/>
          <w:sz w:val="22"/>
          <w:szCs w:val="22"/>
          <w:u w:val="single"/>
        </w:rPr>
        <w:t>: PARAMETRY DOTYCZĄCE POSZCZEGÓLNYCHZADAŃ</w:t>
      </w:r>
    </w:p>
    <w:p w14:paraId="6C4F8E90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Odczynniki muszą być zgodne z wymaganiami zawartymi w Obwieszczeniu Ministra Zdrowia z dnia 30 marca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2021 w sprawie dobrej praktyki pobierania krwi i jej składników, badania, preparatyki, przechowywania,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wydawania…” oraz odpowiadać wymogom Ustawy z dnia 7 kwietnia 2022 r o wyrobach medycznych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Rozporządzenia Ministra Zdrowia w sprawie wymagań zasadniczych oraz procedur oceny zgodności wyrobów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medycznych do diagnostyki in vitro:</w:t>
      </w:r>
    </w:p>
    <w:p w14:paraId="431D17DC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dla artykułów będących wyrobami medycznymi do diagnostyki in vitro w świetle ustawy z dnia 7 kwietnia 2022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o wyrobach medycznych :</w:t>
      </w:r>
    </w:p>
    <w:p w14:paraId="4E291BFA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lastRenderedPageBreak/>
        <w:t>• zgłoszenia/powiadomienia o wyrobie do bazy danych Prezesa Urzędu Rejestracji Produktów Leczniczych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Wyrobów Medycznych i Produktów Biobójczych,</w:t>
      </w:r>
    </w:p>
    <w:p w14:paraId="1A23237C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• Deklaracji zgodności WE,</w:t>
      </w:r>
    </w:p>
    <w:p w14:paraId="51150178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• Certyfikatu CE IVD,</w:t>
      </w:r>
    </w:p>
    <w:p w14:paraId="2DE645FE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• Certyfikatu CE;</w:t>
      </w:r>
    </w:p>
    <w:p w14:paraId="7617DC3D" w14:textId="77777777" w:rsidR="0035656C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Prosimy o potwierdzenie, czy dokumenty wymienione powyżej są wymagane dla odczynników dla których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wymogiem jest certyfikowanie CE przy udziale jednostki notyfikowanej, a w pozostałych wypadkach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wystarczająca jest Deklaracja Zgodności CE producenta zgodnie z Rozporządzeniem 2017/746.</w:t>
      </w:r>
    </w:p>
    <w:p w14:paraId="0C690E7E" w14:textId="77777777" w:rsidR="0035656C" w:rsidRPr="005D1D87" w:rsidRDefault="0035656C" w:rsidP="0035656C">
      <w:pPr>
        <w:widowControl w:val="0"/>
        <w:shd w:val="clear" w:color="auto" w:fill="FFFFFF"/>
        <w:ind w:right="260"/>
        <w:jc w:val="both"/>
        <w:rPr>
          <w:rFonts w:asciiTheme="minorHAnsi" w:eastAsiaTheme="minorHAnsi" w:hAnsiTheme="minorHAnsi" w:cs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5D1D87">
        <w:rPr>
          <w:rFonts w:asciiTheme="minorHAnsi" w:eastAsiaTheme="minorHAnsi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Odpowiedź: Tak. Zamawiający  potwierdza.</w:t>
      </w:r>
    </w:p>
    <w:p w14:paraId="355DB4D7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EF775E" w14:textId="77777777" w:rsidR="0035656C" w:rsidRPr="0012101C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2101C">
        <w:rPr>
          <w:rFonts w:asciiTheme="minorHAnsi" w:hAnsiTheme="minorHAnsi" w:cstheme="minorHAnsi"/>
          <w:sz w:val="22"/>
          <w:szCs w:val="22"/>
          <w:u w:val="single"/>
        </w:rPr>
        <w:t>5. Zapytanie</w:t>
      </w:r>
    </w:p>
    <w:p w14:paraId="0BC33422" w14:textId="77777777" w:rsidR="0035656C" w:rsidRPr="0012101C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01C">
        <w:rPr>
          <w:rFonts w:asciiTheme="minorHAnsi" w:hAnsiTheme="minorHAnsi" w:cstheme="minorHAnsi"/>
          <w:sz w:val="22"/>
          <w:szCs w:val="22"/>
        </w:rPr>
        <w:t>Czy zgodnie z Rozporządzeniem (UE) 2017/746 wykonawca powinien być autoryzowanym dystrybutorem producenta zaoferowanych odczynników na terenie Polski?</w:t>
      </w:r>
    </w:p>
    <w:p w14:paraId="5AB3ADCE" w14:textId="77777777" w:rsidR="0035656C" w:rsidRPr="0012101C" w:rsidRDefault="0035656C" w:rsidP="0035656C">
      <w:pPr>
        <w:pStyle w:val="Teksttreci1"/>
        <w:spacing w:before="0" w:after="0" w:line="240" w:lineRule="auto"/>
        <w:ind w:right="260"/>
        <w:jc w:val="both"/>
        <w:rPr>
          <w:rStyle w:val="Teksttreci"/>
          <w:rFonts w:cstheme="minorHAnsi"/>
          <w:b/>
          <w:bCs/>
        </w:rPr>
      </w:pPr>
      <w:r w:rsidRPr="0012101C">
        <w:rPr>
          <w:rStyle w:val="Teksttreci"/>
          <w:rFonts w:cstheme="minorHAnsi"/>
          <w:b/>
          <w:bCs/>
        </w:rPr>
        <w:t>Odpowiedź: Zamawiający wymaga zgodnie z SWZ.</w:t>
      </w:r>
    </w:p>
    <w:p w14:paraId="3A1F8D2E" w14:textId="77777777" w:rsidR="0035656C" w:rsidRPr="00886895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77F347" w14:textId="77777777" w:rsidR="0035656C" w:rsidRPr="003A074F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074F">
        <w:rPr>
          <w:rFonts w:asciiTheme="minorHAnsi" w:hAnsiTheme="minorHAnsi" w:cstheme="minorHAnsi"/>
          <w:sz w:val="22"/>
          <w:szCs w:val="22"/>
          <w:u w:val="single"/>
        </w:rPr>
        <w:t>6. Czy Zamawiający wyrazi zgodę, aby świadectwa kontroli jakości dla poszczególnych partii</w:t>
      </w:r>
      <w:r w:rsidRPr="003A074F">
        <w:rPr>
          <w:rFonts w:asciiTheme="minorHAnsi" w:hAnsiTheme="minorHAnsi" w:cstheme="minorHAnsi"/>
          <w:sz w:val="22"/>
          <w:szCs w:val="22"/>
        </w:rPr>
        <w:t xml:space="preserve"> odczynników były dostarczane w języku angielskim skoro odczynniki są dedykowane dla profesjonalistów?</w:t>
      </w:r>
    </w:p>
    <w:p w14:paraId="7FBCD543" w14:textId="77777777" w:rsidR="0035656C" w:rsidRPr="003A074F" w:rsidRDefault="0035656C" w:rsidP="0035656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Odpowiedź: Tak. Zamawiający  dopuszcza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0A4E6FD1" w14:textId="77777777" w:rsidR="0035656C" w:rsidRPr="001D12D9" w:rsidRDefault="0035656C" w:rsidP="0035656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45DCB" w14:textId="77777777" w:rsidR="0035656C" w:rsidRPr="003A074F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A074F">
        <w:rPr>
          <w:rFonts w:asciiTheme="minorHAnsi" w:hAnsiTheme="minorHAnsi" w:cstheme="minorHAnsi"/>
          <w:sz w:val="22"/>
          <w:szCs w:val="22"/>
          <w:u w:val="single"/>
        </w:rPr>
        <w:t xml:space="preserve">7. Zapytanie do załącznika nr 3 do </w:t>
      </w:r>
      <w:proofErr w:type="spellStart"/>
      <w:r w:rsidRPr="003A074F">
        <w:rPr>
          <w:rFonts w:asciiTheme="minorHAnsi" w:hAnsiTheme="minorHAnsi" w:cstheme="minorHAnsi"/>
          <w:sz w:val="22"/>
          <w:szCs w:val="22"/>
          <w:u w:val="single"/>
        </w:rPr>
        <w:t>swz</w:t>
      </w:r>
      <w:proofErr w:type="spellEnd"/>
      <w:r w:rsidRPr="003A074F">
        <w:rPr>
          <w:rFonts w:asciiTheme="minorHAnsi" w:hAnsiTheme="minorHAnsi" w:cstheme="minorHAnsi"/>
          <w:sz w:val="22"/>
          <w:szCs w:val="22"/>
          <w:u w:val="single"/>
        </w:rPr>
        <w:t xml:space="preserve"> pkt 8</w:t>
      </w:r>
    </w:p>
    <w:p w14:paraId="542F2FC7" w14:textId="77777777" w:rsidR="0035656C" w:rsidRPr="00886895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Czy Wymaganie aby w instrukcji używania podany był termin ważności po otwarciu odczynnika dotyczy</w:t>
      </w:r>
    </w:p>
    <w:p w14:paraId="3148C906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tylko odczynników które posiadają takie ograniczenia tj. otwarcie opakowania skraca termin ważności</w:t>
      </w:r>
    </w:p>
    <w:p w14:paraId="5054BBF4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podany na etykiecie?</w:t>
      </w:r>
    </w:p>
    <w:p w14:paraId="5DBB5223" w14:textId="77777777" w:rsidR="0035656C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Termin ważności zawiera etykieta odczynnika na opakowaniu -zgodnie z wymaganiami zasadniczymi.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instrukcji nie ma wymagania podawania terminu ważności dla odczynników, które po otwarciu można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stosować do daty na etykiecie.</w:t>
      </w:r>
    </w:p>
    <w:p w14:paraId="764AE207" w14:textId="77777777" w:rsidR="0035656C" w:rsidRPr="007876D3" w:rsidRDefault="0035656C" w:rsidP="0035656C">
      <w:pPr>
        <w:widowControl w:val="0"/>
        <w:shd w:val="clear" w:color="auto" w:fill="FFFFFF"/>
        <w:ind w:right="260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7876D3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Odpowiedź: Tak- (czas ważności (dni, tygodnie) odczynnika po otwarciu, jeżeli otwarcie skraca termin ważności podany na etykiecie).</w:t>
      </w:r>
    </w:p>
    <w:p w14:paraId="31CE142A" w14:textId="77777777" w:rsidR="0035656C" w:rsidRPr="00886895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E85F35" w14:textId="77777777" w:rsidR="0035656C" w:rsidRPr="00E63B14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3B14">
        <w:rPr>
          <w:rFonts w:asciiTheme="minorHAnsi" w:hAnsiTheme="minorHAnsi" w:cstheme="minorHAnsi"/>
          <w:sz w:val="22"/>
          <w:szCs w:val="22"/>
          <w:u w:val="single"/>
        </w:rPr>
        <w:t>8. Zapytanie do części nr 1 pozycje od 1 do 4.</w:t>
      </w:r>
    </w:p>
    <w:p w14:paraId="729946D2" w14:textId="77777777" w:rsidR="0035656C" w:rsidRPr="00E63B14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B14">
        <w:rPr>
          <w:rFonts w:asciiTheme="minorHAnsi" w:hAnsiTheme="minorHAnsi" w:cstheme="minorHAnsi"/>
          <w:sz w:val="22"/>
          <w:szCs w:val="22"/>
        </w:rPr>
        <w:t xml:space="preserve">Czy Zamawiający dopuści odczynniki </w:t>
      </w:r>
      <w:proofErr w:type="spellStart"/>
      <w:r w:rsidRPr="00E63B14">
        <w:rPr>
          <w:rFonts w:asciiTheme="minorHAnsi" w:hAnsiTheme="minorHAnsi" w:cstheme="minorHAnsi"/>
          <w:sz w:val="22"/>
          <w:szCs w:val="22"/>
        </w:rPr>
        <w:t>poliklonalne</w:t>
      </w:r>
      <w:proofErr w:type="spellEnd"/>
      <w:r w:rsidRPr="00E63B14">
        <w:rPr>
          <w:rFonts w:asciiTheme="minorHAnsi" w:hAnsiTheme="minorHAnsi" w:cstheme="minorHAnsi"/>
          <w:sz w:val="22"/>
          <w:szCs w:val="22"/>
        </w:rPr>
        <w:t xml:space="preserve"> do metody probówkowej oraz żelowej?</w:t>
      </w:r>
    </w:p>
    <w:p w14:paraId="7D3EECEF" w14:textId="77777777" w:rsidR="0035656C" w:rsidRPr="003A074F" w:rsidRDefault="0035656C" w:rsidP="0035656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Odpowiedź: Tak. Zamawiający  dopuszcza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72147665" w14:textId="77777777" w:rsidR="0035656C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EFE59" w14:textId="77777777" w:rsidR="0035656C" w:rsidRPr="00E63B14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3B14">
        <w:rPr>
          <w:rFonts w:asciiTheme="minorHAnsi" w:hAnsiTheme="minorHAnsi" w:cstheme="minorHAnsi"/>
          <w:sz w:val="22"/>
          <w:szCs w:val="22"/>
          <w:u w:val="single"/>
        </w:rPr>
        <w:t>9. Zapytanie do części nr 1 pozycja 4</w:t>
      </w:r>
    </w:p>
    <w:p w14:paraId="58406756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Czy Zamawiający dopuści odczynnik monoklonalny tylko do metody probówkowej?</w:t>
      </w:r>
    </w:p>
    <w:p w14:paraId="39C92143" w14:textId="77777777" w:rsidR="0035656C" w:rsidRPr="00102CFB" w:rsidRDefault="0035656C" w:rsidP="0035656C">
      <w:pPr>
        <w:widowControl w:val="0"/>
        <w:shd w:val="clear" w:color="auto" w:fill="FFFFFF"/>
        <w:ind w:right="260"/>
        <w:jc w:val="both"/>
        <w:rPr>
          <w:rFonts w:asciiTheme="minorHAnsi" w:eastAsiaTheme="minorHAnsi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bookmarkStart w:id="6" w:name="_Hlk164157181"/>
      <w:r w:rsidRPr="00102CFB">
        <w:rPr>
          <w:rFonts w:asciiTheme="minorHAnsi" w:eastAsiaTheme="minorHAnsi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Odpowiedź: Nie. Zamawiający nie wyraża zgody.</w:t>
      </w:r>
    </w:p>
    <w:bookmarkEnd w:id="6"/>
    <w:p w14:paraId="740DEB11" w14:textId="77777777" w:rsidR="0035656C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FFE250" w14:textId="77777777" w:rsidR="0035656C" w:rsidRPr="00E63B14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3B14">
        <w:rPr>
          <w:rFonts w:asciiTheme="minorHAnsi" w:hAnsiTheme="minorHAnsi" w:cstheme="minorHAnsi"/>
          <w:sz w:val="22"/>
          <w:szCs w:val="22"/>
          <w:u w:val="single"/>
        </w:rPr>
        <w:t>10. Zapytanie do części nr 1 pozycja 4 i 5</w:t>
      </w:r>
    </w:p>
    <w:p w14:paraId="7799E9B5" w14:textId="77777777" w:rsidR="0035656C" w:rsidRPr="00886895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Czy Zamawiający dopuści odczynniki monoklonalne anty-</w:t>
      </w:r>
      <w:proofErr w:type="spellStart"/>
      <w:r w:rsidRPr="00886895">
        <w:rPr>
          <w:rFonts w:asciiTheme="minorHAnsi" w:hAnsiTheme="minorHAnsi" w:cstheme="minorHAnsi"/>
          <w:sz w:val="22"/>
          <w:szCs w:val="22"/>
        </w:rPr>
        <w:t>Fya</w:t>
      </w:r>
      <w:proofErr w:type="spellEnd"/>
      <w:r w:rsidRPr="00886895">
        <w:rPr>
          <w:rFonts w:asciiTheme="minorHAnsi" w:hAnsiTheme="minorHAnsi" w:cstheme="minorHAnsi"/>
          <w:sz w:val="22"/>
          <w:szCs w:val="22"/>
        </w:rPr>
        <w:t xml:space="preserve"> oraz anty-</w:t>
      </w:r>
      <w:proofErr w:type="spellStart"/>
      <w:r w:rsidRPr="00886895">
        <w:rPr>
          <w:rFonts w:asciiTheme="minorHAnsi" w:hAnsiTheme="minorHAnsi" w:cstheme="minorHAnsi"/>
          <w:sz w:val="22"/>
          <w:szCs w:val="22"/>
        </w:rPr>
        <w:t>Fyb</w:t>
      </w:r>
      <w:proofErr w:type="spellEnd"/>
      <w:r w:rsidRPr="00886895">
        <w:rPr>
          <w:rFonts w:asciiTheme="minorHAnsi" w:hAnsiTheme="minorHAnsi" w:cstheme="minorHAnsi"/>
          <w:sz w:val="22"/>
          <w:szCs w:val="22"/>
        </w:rPr>
        <w:t xml:space="preserve"> do metody tylko probówkowej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895">
        <w:rPr>
          <w:rFonts w:asciiTheme="minorHAnsi" w:hAnsiTheme="minorHAnsi" w:cstheme="minorHAnsi"/>
          <w:sz w:val="22"/>
          <w:szCs w:val="22"/>
        </w:rPr>
        <w:t>?</w:t>
      </w:r>
    </w:p>
    <w:p w14:paraId="66A7AC01" w14:textId="77777777" w:rsidR="0035656C" w:rsidRPr="00102CFB" w:rsidRDefault="0035656C" w:rsidP="0035656C">
      <w:pPr>
        <w:widowControl w:val="0"/>
        <w:shd w:val="clear" w:color="auto" w:fill="FFFFFF"/>
        <w:ind w:right="260"/>
        <w:jc w:val="both"/>
        <w:rPr>
          <w:rFonts w:asciiTheme="minorHAnsi" w:eastAsiaTheme="minorHAnsi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102CFB">
        <w:rPr>
          <w:rFonts w:asciiTheme="minorHAnsi" w:eastAsiaTheme="minorHAnsi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Odpowiedź: Nie. Zamawiający nie wyraża zgody.</w:t>
      </w:r>
    </w:p>
    <w:p w14:paraId="497E87E4" w14:textId="77777777" w:rsidR="0035656C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301464" w14:textId="77777777" w:rsidR="0035656C" w:rsidRPr="00D121F1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121F1">
        <w:rPr>
          <w:rFonts w:asciiTheme="minorHAnsi" w:hAnsiTheme="minorHAnsi" w:cstheme="minorHAnsi"/>
          <w:sz w:val="22"/>
          <w:szCs w:val="22"/>
          <w:u w:val="single"/>
        </w:rPr>
        <w:lastRenderedPageBreak/>
        <w:t>11. Zamawiający wymaga aby odczynniki posiadały termin ważności odczynników wynosił 9 m-</w:t>
      </w:r>
      <w:proofErr w:type="spellStart"/>
      <w:r w:rsidRPr="00D121F1">
        <w:rPr>
          <w:rFonts w:asciiTheme="minorHAnsi" w:hAnsiTheme="minorHAnsi" w:cstheme="minorHAnsi"/>
          <w:sz w:val="22"/>
          <w:szCs w:val="22"/>
          <w:u w:val="single"/>
        </w:rPr>
        <w:t>cy</w:t>
      </w:r>
      <w:proofErr w:type="spellEnd"/>
      <w:r w:rsidRPr="00D121F1">
        <w:rPr>
          <w:rFonts w:asciiTheme="minorHAnsi" w:hAnsiTheme="minorHAnsi" w:cstheme="minorHAnsi"/>
          <w:sz w:val="22"/>
          <w:szCs w:val="22"/>
          <w:u w:val="single"/>
        </w:rPr>
        <w:t xml:space="preserve"> od dnia dostawy (załącznik nr 3 do </w:t>
      </w:r>
      <w:proofErr w:type="spellStart"/>
      <w:r w:rsidRPr="00D121F1">
        <w:rPr>
          <w:rFonts w:asciiTheme="minorHAnsi" w:hAnsiTheme="minorHAnsi" w:cstheme="minorHAnsi"/>
          <w:sz w:val="22"/>
          <w:szCs w:val="22"/>
          <w:u w:val="single"/>
        </w:rPr>
        <w:t>swz</w:t>
      </w:r>
      <w:proofErr w:type="spellEnd"/>
      <w:r w:rsidRPr="00D121F1">
        <w:rPr>
          <w:rFonts w:asciiTheme="minorHAnsi" w:hAnsiTheme="minorHAnsi" w:cstheme="minorHAnsi"/>
          <w:sz w:val="22"/>
          <w:szCs w:val="22"/>
          <w:u w:val="single"/>
        </w:rPr>
        <w:t xml:space="preserve"> pkt. 9)</w:t>
      </w:r>
    </w:p>
    <w:p w14:paraId="4D8AFCA5" w14:textId="77777777" w:rsidR="0035656C" w:rsidRPr="002C0CFA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CFA">
        <w:rPr>
          <w:rFonts w:asciiTheme="minorHAnsi" w:hAnsiTheme="minorHAnsi" w:cstheme="minorHAnsi"/>
          <w:sz w:val="22"/>
          <w:szCs w:val="22"/>
        </w:rPr>
        <w:t xml:space="preserve">Prosimy o wyjaśnienie czy </w:t>
      </w:r>
      <w:bookmarkStart w:id="7" w:name="_Hlk190430020"/>
      <w:r w:rsidRPr="002C0CFA">
        <w:rPr>
          <w:rFonts w:asciiTheme="minorHAnsi" w:hAnsiTheme="minorHAnsi" w:cstheme="minorHAnsi"/>
          <w:sz w:val="22"/>
          <w:szCs w:val="22"/>
        </w:rPr>
        <w:t>w sytuacji kiedy producent/ wykonawca nie będzie mógł, z przyczyn</w:t>
      </w:r>
    </w:p>
    <w:p w14:paraId="680B283F" w14:textId="77777777" w:rsidR="0035656C" w:rsidRPr="002C0CFA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CFA">
        <w:rPr>
          <w:rFonts w:asciiTheme="minorHAnsi" w:hAnsiTheme="minorHAnsi" w:cstheme="minorHAnsi"/>
          <w:sz w:val="22"/>
          <w:szCs w:val="22"/>
        </w:rPr>
        <w:t>niezależnych, dostarczyć odczynnika o wymaganym parametrze czy można zwrócić się do osoby</w:t>
      </w:r>
    </w:p>
    <w:p w14:paraId="0F13DEB8" w14:textId="77777777" w:rsidR="0035656C" w:rsidRPr="002C0CFA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CFA">
        <w:rPr>
          <w:rFonts w:asciiTheme="minorHAnsi" w:hAnsiTheme="minorHAnsi" w:cstheme="minorHAnsi"/>
          <w:sz w:val="22"/>
          <w:szCs w:val="22"/>
        </w:rPr>
        <w:t>odpowiedzialnej o przyzwolenie na dostawę odczynnika z innym terminem ważności</w:t>
      </w:r>
      <w:bookmarkEnd w:id="7"/>
      <w:r w:rsidRPr="002C0CFA">
        <w:rPr>
          <w:rFonts w:asciiTheme="minorHAnsi" w:hAnsiTheme="minorHAnsi" w:cstheme="minorHAnsi"/>
          <w:sz w:val="22"/>
          <w:szCs w:val="22"/>
        </w:rPr>
        <w:t>?</w:t>
      </w:r>
    </w:p>
    <w:p w14:paraId="15C0816C" w14:textId="5B9296A6" w:rsidR="0035656C" w:rsidRPr="003F5B5D" w:rsidRDefault="0035656C" w:rsidP="0035656C">
      <w:pPr>
        <w:keepNext/>
        <w:keepLines/>
        <w:widowControl w:val="0"/>
        <w:jc w:val="both"/>
        <w:outlineLvl w:val="1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bookmarkStart w:id="8" w:name="_Hlk164159705"/>
      <w:r w:rsidRPr="003F5B5D">
        <w:rPr>
          <w:rFonts w:asciiTheme="minorHAnsi" w:hAnsiTheme="minorHAnsi" w:cstheme="minorHAnsi"/>
          <w:b/>
          <w:bCs/>
          <w:sz w:val="22"/>
          <w:szCs w:val="22"/>
        </w:rPr>
        <w:t xml:space="preserve">Odpowiedź: Tak. Zamawiający modyfikuje zapisy </w:t>
      </w:r>
      <w:r w:rsidR="003F5B5D" w:rsidRPr="003F5B5D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§ 5 ust. 1  w załączniku nr 1 do   SWZ</w:t>
      </w:r>
      <w:r w:rsidR="003F5B5D" w:rsidRPr="003F5B5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bookmarkEnd w:id="8"/>
      <w:r w:rsidRPr="003F5B5D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który otrzymuje brzmienie:</w:t>
      </w:r>
    </w:p>
    <w:p w14:paraId="1531C9AE" w14:textId="7A451315" w:rsidR="0035656C" w:rsidRPr="003F5B5D" w:rsidRDefault="0035656C" w:rsidP="003F5B5D">
      <w:pPr>
        <w:widowControl w:val="0"/>
        <w:shd w:val="clear" w:color="auto" w:fill="FFFFFF"/>
        <w:tabs>
          <w:tab w:val="num" w:pos="284"/>
        </w:tabs>
        <w:spacing w:line="276" w:lineRule="auto"/>
        <w:ind w:right="260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3F5B5D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„1. </w:t>
      </w:r>
      <w:r w:rsidR="003F5B5D" w:rsidRPr="003F5B5D">
        <w:rPr>
          <w:rFonts w:asciiTheme="minorHAnsi" w:hAnsiTheme="minorHAnsi" w:cstheme="minorHAnsi"/>
          <w:sz w:val="22"/>
          <w:szCs w:val="22"/>
        </w:rPr>
        <w:t>Zamawiający zastrzega, że dostarczony przez Wykonawcę przedmiot umowy musi mieć określoną datę końca okresu ważności. Termin ważności  w chwili dostawy do Zamawiającego nie będzie krótszy niż …..(</w:t>
      </w:r>
      <w:r w:rsidR="003F5B5D" w:rsidRPr="003F5B5D">
        <w:rPr>
          <w:rFonts w:asciiTheme="minorHAnsi" w:hAnsiTheme="minorHAnsi" w:cstheme="minorHAnsi"/>
          <w:b/>
          <w:bCs/>
          <w:sz w:val="22"/>
          <w:szCs w:val="22"/>
        </w:rPr>
        <w:t>min. 9 miesięcy</w:t>
      </w:r>
      <w:r w:rsidR="003F5B5D" w:rsidRPr="003F5B5D">
        <w:rPr>
          <w:rFonts w:asciiTheme="minorHAnsi" w:hAnsiTheme="minorHAnsi" w:cstheme="minorHAnsi"/>
          <w:sz w:val="22"/>
          <w:szCs w:val="22"/>
        </w:rPr>
        <w:t xml:space="preserve">)  licząc od daty dostawy do Zamawiającego. </w:t>
      </w:r>
      <w:r w:rsidR="003F5B5D" w:rsidRPr="003F5B5D">
        <w:rPr>
          <w:rFonts w:asciiTheme="minorHAnsi" w:hAnsiTheme="minorHAnsi" w:cstheme="minorHAnsi"/>
          <w:b/>
          <w:bCs/>
          <w:sz w:val="22"/>
          <w:szCs w:val="22"/>
        </w:rPr>
        <w:t>W sytuacji kiedy producent/ wykonawca nie będzie mógł, z przyczyn niezależnych, dostarczyć odczynnika o wymaganym parametrze, Wykonawca może dostarczyć odczynnik z innym terminem ważności po uzyskaniu zgody przez Zamawiającego.</w:t>
      </w:r>
      <w:r w:rsidRPr="003F5B5D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.”</w:t>
      </w:r>
    </w:p>
    <w:p w14:paraId="3212C997" w14:textId="77777777" w:rsidR="0035656C" w:rsidRPr="00AA0BB0" w:rsidRDefault="0035656C" w:rsidP="0035656C">
      <w:pPr>
        <w:widowControl w:val="0"/>
        <w:shd w:val="clear" w:color="auto" w:fill="FFFFFF"/>
        <w:ind w:left="40" w:right="260"/>
        <w:jc w:val="both"/>
        <w:rPr>
          <w:rFonts w:ascii="Calibri" w:eastAsiaTheme="minorHAnsi" w:hAnsi="Calibri" w:cs="Calibri"/>
          <w:b/>
          <w:bCs/>
          <w:color w:val="FF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15CC743C" w14:textId="77777777" w:rsidR="0035656C" w:rsidRPr="00E63B14" w:rsidRDefault="0035656C" w:rsidP="003565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3B14">
        <w:rPr>
          <w:rFonts w:asciiTheme="minorHAnsi" w:hAnsiTheme="minorHAnsi" w:cstheme="minorHAnsi"/>
          <w:sz w:val="22"/>
          <w:szCs w:val="22"/>
          <w:u w:val="single"/>
        </w:rPr>
        <w:t>12. Zapytanie do części nr 2 pozycja 2.</w:t>
      </w:r>
    </w:p>
    <w:p w14:paraId="5F93D51F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Czy Zamawiający wymaga odczynnika monoklonalnego anty-k (</w:t>
      </w:r>
      <w:proofErr w:type="spellStart"/>
      <w:r w:rsidRPr="00886895">
        <w:rPr>
          <w:rFonts w:asciiTheme="minorHAnsi" w:hAnsiTheme="minorHAnsi" w:cstheme="minorHAnsi"/>
          <w:sz w:val="22"/>
          <w:szCs w:val="22"/>
        </w:rPr>
        <w:t>Cellano</w:t>
      </w:r>
      <w:proofErr w:type="spellEnd"/>
      <w:r w:rsidRPr="00886895">
        <w:rPr>
          <w:rFonts w:asciiTheme="minorHAnsi" w:hAnsiTheme="minorHAnsi" w:cstheme="minorHAnsi"/>
          <w:sz w:val="22"/>
          <w:szCs w:val="22"/>
        </w:rPr>
        <w:t>) do metody probówkowej oraz</w:t>
      </w:r>
    </w:p>
    <w:p w14:paraId="4563F05C" w14:textId="77777777" w:rsidR="0035656C" w:rsidRPr="00886895" w:rsidRDefault="0035656C" w:rsidP="0035656C">
      <w:pPr>
        <w:jc w:val="both"/>
        <w:rPr>
          <w:rFonts w:asciiTheme="minorHAnsi" w:hAnsiTheme="minorHAnsi" w:cstheme="minorHAnsi"/>
          <w:sz w:val="22"/>
          <w:szCs w:val="22"/>
        </w:rPr>
      </w:pPr>
      <w:r w:rsidRPr="00886895">
        <w:rPr>
          <w:rFonts w:asciiTheme="minorHAnsi" w:hAnsiTheme="minorHAnsi" w:cstheme="minorHAnsi"/>
          <w:sz w:val="22"/>
          <w:szCs w:val="22"/>
        </w:rPr>
        <w:t>żelowej?</w:t>
      </w:r>
    </w:p>
    <w:p w14:paraId="2608DB0E" w14:textId="77777777" w:rsidR="0035656C" w:rsidRPr="002F413A" w:rsidRDefault="0035656C" w:rsidP="0035656C">
      <w:pPr>
        <w:pStyle w:val="Teksttreci1"/>
        <w:spacing w:before="0" w:after="0" w:line="240" w:lineRule="auto"/>
        <w:ind w:right="260"/>
        <w:jc w:val="both"/>
        <w:rPr>
          <w:rStyle w:val="Teksttreci"/>
          <w:rFonts w:cstheme="minorHAnsi"/>
          <w:b/>
          <w:bCs/>
          <w:color w:val="000000"/>
        </w:rPr>
      </w:pPr>
      <w:r w:rsidRPr="002F413A">
        <w:rPr>
          <w:rStyle w:val="Teksttreci"/>
          <w:rFonts w:cstheme="minorHAnsi"/>
          <w:b/>
          <w:bCs/>
          <w:color w:val="000000"/>
        </w:rPr>
        <w:t>Odpowiedź: Zamawiający</w:t>
      </w:r>
      <w:r>
        <w:rPr>
          <w:rStyle w:val="Teksttreci"/>
          <w:rFonts w:cstheme="minorHAnsi"/>
          <w:b/>
          <w:bCs/>
          <w:color w:val="000000"/>
        </w:rPr>
        <w:t xml:space="preserve"> wymaga zgodnie z SWZ.</w:t>
      </w:r>
    </w:p>
    <w:p w14:paraId="3CC87590" w14:textId="77777777" w:rsidR="0035656C" w:rsidRDefault="0035656C" w:rsidP="0035656C">
      <w:pPr>
        <w:spacing w:line="360" w:lineRule="auto"/>
        <w:ind w:firstLine="708"/>
        <w:jc w:val="both"/>
        <w:rPr>
          <w:sz w:val="22"/>
          <w:szCs w:val="22"/>
        </w:rPr>
      </w:pPr>
    </w:p>
    <w:p w14:paraId="7152E81B" w14:textId="77777777" w:rsidR="0035656C" w:rsidRPr="00E63B14" w:rsidRDefault="0035656C" w:rsidP="003565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63B1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2. Zapytanie do części nr 3 pozycja 3</w:t>
      </w:r>
    </w:p>
    <w:p w14:paraId="149F4900" w14:textId="77777777" w:rsidR="0035656C" w:rsidRPr="00E63B14" w:rsidRDefault="0035656C" w:rsidP="003565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>Czy Zamawiający pozwoli na zaoferowanie Roztworu glikolowego polietylenowego 20% (PEG) do PTA w opakowaniach 2x4ml?</w:t>
      </w:r>
    </w:p>
    <w:p w14:paraId="3DC03BC6" w14:textId="77777777" w:rsidR="0035656C" w:rsidRPr="003A074F" w:rsidRDefault="0035656C" w:rsidP="0035656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Odpowiedź: Tak. Zamawiający  dopuszcza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12C1EC4E" w14:textId="77777777" w:rsidR="0035656C" w:rsidRDefault="0035656C" w:rsidP="0035656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329DA" w14:textId="77777777" w:rsidR="0035656C" w:rsidRPr="00E63B14" w:rsidRDefault="0035656C" w:rsidP="0035656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63B1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3. Zapytanie do części nr 4 pozycja 2</w:t>
      </w:r>
    </w:p>
    <w:p w14:paraId="0CB96EE8" w14:textId="77777777" w:rsidR="0035656C" w:rsidRPr="00E63B14" w:rsidRDefault="0035656C" w:rsidP="003565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Czy Zamawiający pozwoli na zaoferowanie Odczynnika </w:t>
      </w:r>
      <w:proofErr w:type="spellStart"/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>antyglobulinowego</w:t>
      </w:r>
      <w:proofErr w:type="spellEnd"/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>monowalentnego</w:t>
      </w:r>
      <w:proofErr w:type="spellEnd"/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(anty- </w:t>
      </w:r>
      <w:proofErr w:type="spellStart"/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>IgG</w:t>
      </w:r>
      <w:proofErr w:type="spellEnd"/>
      <w:r w:rsidRPr="00E63B14">
        <w:rPr>
          <w:rFonts w:asciiTheme="minorHAnsi" w:hAnsiTheme="minorHAnsi" w:cstheme="minorHAnsi"/>
          <w:color w:val="000000" w:themeColor="text1"/>
          <w:sz w:val="22"/>
          <w:szCs w:val="22"/>
        </w:rPr>
        <w:t>) w opakowaniach 2x2ml?</w:t>
      </w:r>
    </w:p>
    <w:p w14:paraId="40E08489" w14:textId="77777777" w:rsidR="0035656C" w:rsidRPr="003A074F" w:rsidRDefault="0035656C" w:rsidP="0035656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Odpowiedź: Tak. Zamawiający  dopuszcza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3A074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004955D6" w14:textId="77777777" w:rsidR="0035656C" w:rsidRDefault="0035656C" w:rsidP="0035656C">
      <w:pPr>
        <w:spacing w:line="360" w:lineRule="auto"/>
        <w:ind w:firstLine="708"/>
        <w:jc w:val="both"/>
        <w:rPr>
          <w:sz w:val="22"/>
          <w:szCs w:val="22"/>
        </w:rPr>
      </w:pPr>
    </w:p>
    <w:p w14:paraId="186EB2F5" w14:textId="77777777" w:rsidR="0035656C" w:rsidRDefault="0035656C" w:rsidP="0035656C">
      <w:pPr>
        <w:rPr>
          <w:rFonts w:asciiTheme="minorHAnsi" w:hAnsiTheme="minorHAnsi" w:cstheme="minorHAnsi"/>
          <w:sz w:val="22"/>
          <w:szCs w:val="22"/>
        </w:rPr>
      </w:pPr>
      <w:r w:rsidRPr="00473009">
        <w:rPr>
          <w:rFonts w:asciiTheme="minorHAnsi" w:hAnsiTheme="minorHAnsi" w:cstheme="minorHAnsi"/>
          <w:sz w:val="22"/>
          <w:szCs w:val="22"/>
        </w:rPr>
        <w:t>Zmiany wchodzą z dniem podpisania. Pozostałe zapisy SWZ pozostają bez zmian.</w:t>
      </w:r>
    </w:p>
    <w:p w14:paraId="69D42E08" w14:textId="77777777" w:rsidR="0035656C" w:rsidRPr="00473009" w:rsidRDefault="0035656C" w:rsidP="003565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załączeniu zmieniony załącznik nr 1 i nr 2 i nr 3.</w:t>
      </w:r>
    </w:p>
    <w:p w14:paraId="0BF6C6A0" w14:textId="77777777" w:rsidR="0035656C" w:rsidRDefault="0035656C" w:rsidP="0035656C">
      <w:pPr>
        <w:spacing w:line="360" w:lineRule="auto"/>
        <w:jc w:val="both"/>
        <w:rPr>
          <w:sz w:val="22"/>
          <w:szCs w:val="22"/>
        </w:rPr>
      </w:pPr>
    </w:p>
    <w:p w14:paraId="49B11A49" w14:textId="152EAC63" w:rsidR="00650039" w:rsidRPr="001B7FD6" w:rsidRDefault="00650039" w:rsidP="0035656C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8A4C22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F6EFBC5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D9C250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837D9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1FFE5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BEE7" w14:textId="77777777" w:rsidR="00ED00EA" w:rsidRDefault="00ED00EA" w:rsidP="006668EB">
      <w:r>
        <w:separator/>
      </w:r>
    </w:p>
  </w:endnote>
  <w:endnote w:type="continuationSeparator" w:id="0">
    <w:p w14:paraId="0C346916" w14:textId="77777777" w:rsidR="00ED00EA" w:rsidRDefault="00ED00EA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9" w:name="_Hlk121401883"/>
    <w:bookmarkStart w:id="10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53B0" w14:textId="77777777" w:rsidR="00ED00EA" w:rsidRDefault="00ED00EA" w:rsidP="006668EB">
      <w:r>
        <w:separator/>
      </w:r>
    </w:p>
  </w:footnote>
  <w:footnote w:type="continuationSeparator" w:id="0">
    <w:p w14:paraId="43085C9A" w14:textId="77777777" w:rsidR="00ED00EA" w:rsidRDefault="00ED00EA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41874"/>
    <w:rsid w:val="00072104"/>
    <w:rsid w:val="000C1A39"/>
    <w:rsid w:val="000E38DE"/>
    <w:rsid w:val="00114FD1"/>
    <w:rsid w:val="00125516"/>
    <w:rsid w:val="001B7FD6"/>
    <w:rsid w:val="0024136E"/>
    <w:rsid w:val="00256030"/>
    <w:rsid w:val="00340573"/>
    <w:rsid w:val="0035656C"/>
    <w:rsid w:val="003835FC"/>
    <w:rsid w:val="003855BA"/>
    <w:rsid w:val="00391692"/>
    <w:rsid w:val="003D2B9E"/>
    <w:rsid w:val="003F5B5D"/>
    <w:rsid w:val="0055249F"/>
    <w:rsid w:val="005A54A3"/>
    <w:rsid w:val="00650039"/>
    <w:rsid w:val="00657894"/>
    <w:rsid w:val="006668EB"/>
    <w:rsid w:val="006A75CE"/>
    <w:rsid w:val="00710038"/>
    <w:rsid w:val="00724EE8"/>
    <w:rsid w:val="007E2377"/>
    <w:rsid w:val="0089365B"/>
    <w:rsid w:val="0094458A"/>
    <w:rsid w:val="009C62AB"/>
    <w:rsid w:val="00A275C0"/>
    <w:rsid w:val="00AD5766"/>
    <w:rsid w:val="00B645C6"/>
    <w:rsid w:val="00B7795E"/>
    <w:rsid w:val="00B80138"/>
    <w:rsid w:val="00BA0012"/>
    <w:rsid w:val="00BF5503"/>
    <w:rsid w:val="00C5230C"/>
    <w:rsid w:val="00C63B7C"/>
    <w:rsid w:val="00CC68A5"/>
    <w:rsid w:val="00D45923"/>
    <w:rsid w:val="00DB3763"/>
    <w:rsid w:val="00DB765B"/>
    <w:rsid w:val="00DD4DD8"/>
    <w:rsid w:val="00E43B11"/>
    <w:rsid w:val="00ED00EA"/>
    <w:rsid w:val="00F22319"/>
    <w:rsid w:val="00F26F12"/>
    <w:rsid w:val="00F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35656C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35656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656C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3F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Elżbieta Myśliwiec</cp:lastModifiedBy>
  <cp:revision>5</cp:revision>
  <cp:lastPrinted>2025-02-14T12:32:00Z</cp:lastPrinted>
  <dcterms:created xsi:type="dcterms:W3CDTF">2025-02-12T09:10:00Z</dcterms:created>
  <dcterms:modified xsi:type="dcterms:W3CDTF">2025-02-14T12:32:00Z</dcterms:modified>
</cp:coreProperties>
</file>