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BC75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  <w:bookmarkStart w:id="0" w:name="bookmark1"/>
      <w:bookmarkStart w:id="1" w:name="_Toc392064655"/>
      <w:bookmarkStart w:id="2" w:name="_Toc392066894"/>
      <w:bookmarkStart w:id="3" w:name="_Toc392068079"/>
      <w:bookmarkStart w:id="4" w:name="_Toc392071331"/>
      <w:bookmarkStart w:id="5" w:name="_Toc392137467"/>
    </w:p>
    <w:p w14:paraId="08BAEB32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1DF4B86C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375857E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D840C08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47A38CB" w14:textId="53318339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  <w:r w:rsidRPr="00BD7963">
        <w:t xml:space="preserve">Remont drogi wojewódzkiej nr 683  na odcinkach:  km 4+140 - km 4+650 (Ludwików-Wola </w:t>
      </w:r>
      <w:proofErr w:type="spellStart"/>
      <w:r w:rsidRPr="00BD7963">
        <w:t>Wągrodzka</w:t>
      </w:r>
      <w:proofErr w:type="spellEnd"/>
      <w:r w:rsidRPr="00BD7963">
        <w:t>), km  9+400 - km 10+550 (</w:t>
      </w:r>
      <w:proofErr w:type="spellStart"/>
      <w:r w:rsidRPr="00BD7963">
        <w:t>Uwieliny</w:t>
      </w:r>
      <w:proofErr w:type="spellEnd"/>
      <w:r w:rsidRPr="00BD7963">
        <w:t>-Gabryelin), km 11+305 - km 11+868 (Gabryelin-Ławki), gmina Prażmów, powiat piaseczyński, województwo mazowieckie</w:t>
      </w:r>
    </w:p>
    <w:p w14:paraId="312269BE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6D03152C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7FE184B5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09AD001B" w14:textId="77777777" w:rsidR="004F1A23" w:rsidRPr="00271D1F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bookmarkStart w:id="6" w:name="_Toc413743048"/>
      <w:bookmarkStart w:id="7" w:name="_Toc31621018"/>
      <w:bookmarkStart w:id="8" w:name="_Toc33615654"/>
      <w:bookmarkStart w:id="9" w:name="_Toc33615724"/>
      <w:bookmarkStart w:id="10" w:name="_Toc33616773"/>
      <w:bookmarkStart w:id="11" w:name="_Toc33617078"/>
      <w:bookmarkStart w:id="12" w:name="_Toc33617596"/>
      <w:bookmarkStart w:id="13" w:name="_Toc33618284"/>
      <w:bookmarkStart w:id="14" w:name="_Toc96068366"/>
      <w:r w:rsidRPr="00271D1F">
        <w:rPr>
          <w:sz w:val="36"/>
          <w:szCs w:val="36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CE9B219" w14:textId="77777777" w:rsidR="004F1A23" w:rsidRDefault="004F1A23" w:rsidP="004F1A23">
      <w:pPr>
        <w:pStyle w:val="Teksttreci30"/>
        <w:widowControl/>
        <w:shd w:val="clear" w:color="auto" w:fill="auto"/>
        <w:suppressAutoHyphens/>
        <w:spacing w:before="0"/>
        <w:ind w:right="5500" w:firstLine="0"/>
      </w:pPr>
    </w:p>
    <w:p w14:paraId="5321B76E" w14:textId="77777777" w:rsidR="00CD79FC" w:rsidRDefault="00CD79FC"/>
    <w:p w14:paraId="14A1B28B" w14:textId="1A4B2CA8" w:rsidR="004F1A23" w:rsidRPr="004F1A23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bookmarkStart w:id="15" w:name="_Toc56420211"/>
      <w:bookmarkStart w:id="16" w:name="_Toc96068367"/>
      <w:r w:rsidRPr="004F1A23">
        <w:rPr>
          <w:rFonts w:ascii="Times New Roman" w:hAnsi="Times New Roman"/>
          <w:b/>
          <w:bCs/>
          <w:color w:val="auto"/>
          <w:sz w:val="28"/>
          <w:szCs w:val="28"/>
        </w:rPr>
        <w:t>D-01.02.04</w:t>
      </w:r>
    </w:p>
    <w:p w14:paraId="28864A03" w14:textId="1112ADC9" w:rsidR="004F1A23" w:rsidRPr="004F1A23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4F1A23">
        <w:rPr>
          <w:rFonts w:ascii="Times New Roman" w:hAnsi="Times New Roman"/>
          <w:b/>
          <w:bCs/>
          <w:color w:val="auto"/>
          <w:sz w:val="28"/>
          <w:szCs w:val="28"/>
        </w:rPr>
        <w:t>ROZBIÓRKA ELEMENTÓW DRÓG, OGRODZEŃ I PRZEPUSTÓW</w:t>
      </w:r>
      <w:bookmarkEnd w:id="15"/>
      <w:bookmarkEnd w:id="16"/>
    </w:p>
    <w:p w14:paraId="052170E1" w14:textId="77777777" w:rsidR="004F1A23" w:rsidRPr="004F1A23" w:rsidRDefault="004F1A23" w:rsidP="004F1A23">
      <w:pPr>
        <w:jc w:val="center"/>
      </w:pPr>
    </w:p>
    <w:p w14:paraId="24468FDB" w14:textId="77777777" w:rsidR="004F1A23" w:rsidRPr="004F1A23" w:rsidRDefault="004F1A23" w:rsidP="004F1A23"/>
    <w:p w14:paraId="01E6F095" w14:textId="77777777" w:rsidR="004F1A23" w:rsidRPr="004F1A23" w:rsidRDefault="004F1A23" w:rsidP="004F1A23"/>
    <w:p w14:paraId="35E31892" w14:textId="77777777" w:rsidR="004F1A23" w:rsidRPr="004F1A23" w:rsidRDefault="004F1A23" w:rsidP="004F1A23"/>
    <w:p w14:paraId="7F904658" w14:textId="77777777" w:rsidR="004F1A23" w:rsidRPr="004F1A23" w:rsidRDefault="004F1A23" w:rsidP="004F1A23"/>
    <w:p w14:paraId="3D77E6A0" w14:textId="77777777" w:rsidR="004F1A23" w:rsidRPr="004F1A23" w:rsidRDefault="004F1A23" w:rsidP="004F1A23"/>
    <w:p w14:paraId="4F40C4A3" w14:textId="77777777" w:rsidR="004F1A23" w:rsidRPr="004F1A23" w:rsidRDefault="004F1A23" w:rsidP="004F1A23"/>
    <w:p w14:paraId="4777F0D6" w14:textId="77777777" w:rsidR="004F1A23" w:rsidRPr="004F1A23" w:rsidRDefault="004F1A23" w:rsidP="004F1A23"/>
    <w:p w14:paraId="5C4247DE" w14:textId="77777777" w:rsidR="004F1A23" w:rsidRDefault="004F1A23" w:rsidP="004F1A23"/>
    <w:p w14:paraId="2B252DF2" w14:textId="2D86F857" w:rsidR="004F1A23" w:rsidRPr="004F1A23" w:rsidRDefault="004F1A23" w:rsidP="004F1A23">
      <w:pPr>
        <w:rPr>
          <w:b/>
          <w:bCs/>
          <w:sz w:val="20"/>
          <w:szCs w:val="20"/>
        </w:rPr>
      </w:pPr>
      <w:r w:rsidRPr="004F1A23">
        <w:rPr>
          <w:b/>
          <w:bCs/>
          <w:sz w:val="20"/>
          <w:szCs w:val="20"/>
        </w:rPr>
        <w:t xml:space="preserve">SPORZĄDZIŁ: Robert Śniczewski                             </w:t>
      </w:r>
    </w:p>
    <w:p w14:paraId="5044A1E6" w14:textId="77777777" w:rsidR="004F1A23" w:rsidRPr="004F1A23" w:rsidRDefault="004F1A23" w:rsidP="004F1A23"/>
    <w:p w14:paraId="1A4D3660" w14:textId="1F2BD3D3" w:rsidR="004F1A23" w:rsidRDefault="004F1A23" w:rsidP="004F1A23">
      <w:pPr>
        <w:rPr>
          <w:b/>
          <w:bCs/>
          <w:sz w:val="20"/>
          <w:szCs w:val="20"/>
        </w:rPr>
      </w:pPr>
      <w:r w:rsidRPr="004F1A23">
        <w:rPr>
          <w:b/>
          <w:bCs/>
          <w:sz w:val="20"/>
          <w:szCs w:val="20"/>
        </w:rPr>
        <w:t>Marzec 2025</w:t>
      </w:r>
    </w:p>
    <w:p w14:paraId="250B9BBB" w14:textId="77777777" w:rsidR="004F1A23" w:rsidRDefault="004F1A23" w:rsidP="004F1A23">
      <w:pPr>
        <w:rPr>
          <w:b/>
          <w:bCs/>
        </w:rPr>
      </w:pPr>
    </w:p>
    <w:p w14:paraId="22A20D69" w14:textId="77777777" w:rsidR="004F1A23" w:rsidRDefault="004F1A23" w:rsidP="004F1A23">
      <w:pPr>
        <w:rPr>
          <w:b/>
          <w:bCs/>
        </w:rPr>
      </w:pPr>
    </w:p>
    <w:p w14:paraId="3303CD3E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9B63744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5BDF259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B29105E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3C5E9A7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A6A5004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F7D7688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A30E48C" w14:textId="5FC83262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Spis treści:</w:t>
      </w:r>
    </w:p>
    <w:p w14:paraId="5AA1BB4E" w14:textId="2555405A" w:rsidR="004F1A23" w:rsidRDefault="004F1A23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Wstęp                                            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str. 3</w:t>
      </w:r>
    </w:p>
    <w:p w14:paraId="38A78A6A" w14:textId="52928992" w:rsidR="004F1A23" w:rsidRDefault="004F1A23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Materiały                                       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str. 3</w:t>
      </w:r>
    </w:p>
    <w:p w14:paraId="60A00DA2" w14:textId="5BB1545B" w:rsidR="004F1A23" w:rsidRDefault="004F1A23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Sprzęt                                           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str. 4</w:t>
      </w:r>
    </w:p>
    <w:p w14:paraId="27376045" w14:textId="77777777" w:rsidR="004F1A23" w:rsidRDefault="004F1A23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Transport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str. 4</w:t>
      </w:r>
    </w:p>
    <w:p w14:paraId="1BC84360" w14:textId="77777777" w:rsidR="004F1A23" w:rsidRDefault="004F1A23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Wykonanie robót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str. 4   </w:t>
      </w:r>
    </w:p>
    <w:p w14:paraId="3EA77344" w14:textId="77777777" w:rsidR="004F1A23" w:rsidRDefault="004F1A23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Kontrola jakości robót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str. 5</w:t>
      </w:r>
    </w:p>
    <w:p w14:paraId="5FEA480F" w14:textId="5D1DBB49" w:rsidR="004F1A23" w:rsidRDefault="004F1A23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Obmiar robót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str. </w:t>
      </w:r>
      <w:r w:rsidR="004F3802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14:paraId="653E1FCF" w14:textId="14D856B9" w:rsidR="004F3802" w:rsidRDefault="004F3802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Odbiór robót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str. 6</w:t>
      </w:r>
    </w:p>
    <w:p w14:paraId="045CF1F4" w14:textId="77777777" w:rsidR="004F1A23" w:rsidRDefault="004F1A23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Podstawa płatności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str. 6</w:t>
      </w:r>
    </w:p>
    <w:p w14:paraId="75E410E1" w14:textId="126C3ACB" w:rsidR="004F1A23" w:rsidRPr="004F1A23" w:rsidRDefault="004F1A23" w:rsidP="004F1A23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4F380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Przypisy związane </w:t>
      </w:r>
      <w:r w:rsidR="004F3802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4F3802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4F3802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str. 8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</w:t>
      </w:r>
    </w:p>
    <w:p w14:paraId="11C2FFA4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A4FE373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83657F9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AC5CBA9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47723D6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C78149C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FD2743C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B72FB3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6BB1AF1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6EFF637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B25A9EE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2C4165E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39C501D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BECFEE6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7DD7002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E1F8790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41BFAFA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B7D6312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AA73AC4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610E124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25BCA56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1BB2157" w14:textId="7AE9B85D" w:rsidR="004F1A23" w:rsidRPr="005E293A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E293A">
        <w:rPr>
          <w:rFonts w:ascii="Times New Roman" w:eastAsia="Times New Roman" w:hAnsi="Times New Roman"/>
          <w:b/>
          <w:sz w:val="20"/>
          <w:szCs w:val="20"/>
          <w:lang w:eastAsia="pl-PL"/>
        </w:rPr>
        <w:t>1. WSTĘP</w:t>
      </w:r>
    </w:p>
    <w:p w14:paraId="72FAE17E" w14:textId="77777777" w:rsidR="004F1A23" w:rsidRPr="005E293A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E293A">
        <w:rPr>
          <w:rFonts w:ascii="Times New Roman" w:eastAsia="Times New Roman" w:hAnsi="Times New Roman"/>
          <w:b/>
          <w:sz w:val="20"/>
          <w:szCs w:val="20"/>
          <w:lang w:eastAsia="pl-PL"/>
        </w:rPr>
        <w:t>1.1.Przedmiot ST</w:t>
      </w:r>
    </w:p>
    <w:p w14:paraId="1DA98547" w14:textId="77777777" w:rsidR="004F1A23" w:rsidRPr="00BD7963" w:rsidRDefault="004F1A23" w:rsidP="004F1A23">
      <w:pPr>
        <w:spacing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77B17">
        <w:rPr>
          <w:b/>
          <w:bCs/>
          <w:sz w:val="20"/>
          <w:szCs w:val="20"/>
        </w:rPr>
        <w:tab/>
        <w:t>Przedmiotem niniejszej ogólnej specyfikacji technicznej (ST) są wymagania dotyczące wykonania i odbioru robót związanych z rozbiórką elementów dróg, ogrodzeń i przepustów dla zadania</w:t>
      </w:r>
      <w:r w:rsidRPr="005E293A">
        <w:rPr>
          <w:sz w:val="20"/>
          <w:szCs w:val="20"/>
        </w:rPr>
        <w:t xml:space="preserve">: </w:t>
      </w:r>
      <w:bookmarkStart w:id="17" w:name="_Hlk191041760"/>
      <w:r w:rsidRPr="00BD7963">
        <w:rPr>
          <w:b/>
          <w:bCs/>
          <w:sz w:val="20"/>
          <w:szCs w:val="20"/>
        </w:rPr>
        <w:t xml:space="preserve">Remont drogi wojewódzkiej nr 683  na odcinkach:  km 4+140 - km 4+650 (Ludwików-Wola </w:t>
      </w:r>
      <w:proofErr w:type="spellStart"/>
      <w:r w:rsidRPr="00BD7963">
        <w:rPr>
          <w:b/>
          <w:bCs/>
          <w:sz w:val="20"/>
          <w:szCs w:val="20"/>
        </w:rPr>
        <w:t>Wągrodzka</w:t>
      </w:r>
      <w:proofErr w:type="spellEnd"/>
      <w:r w:rsidRPr="00BD7963">
        <w:rPr>
          <w:b/>
          <w:bCs/>
          <w:sz w:val="20"/>
          <w:szCs w:val="20"/>
        </w:rPr>
        <w:t>), km  9+400 - km 10+550 (</w:t>
      </w:r>
      <w:proofErr w:type="spellStart"/>
      <w:r w:rsidRPr="00BD7963">
        <w:rPr>
          <w:b/>
          <w:bCs/>
          <w:sz w:val="20"/>
          <w:szCs w:val="20"/>
        </w:rPr>
        <w:t>Uwieliny</w:t>
      </w:r>
      <w:proofErr w:type="spellEnd"/>
      <w:r w:rsidRPr="00BD7963">
        <w:rPr>
          <w:b/>
          <w:bCs/>
          <w:sz w:val="20"/>
          <w:szCs w:val="20"/>
        </w:rPr>
        <w:t>-Gabryelin), km 11+305 - km 11+868 (Gabryelin-Ławki), gmina Prażmów, powiat piaseczyński, województwo mazowieckie</w:t>
      </w:r>
    </w:p>
    <w:p w14:paraId="0B6ABADB" w14:textId="77777777" w:rsidR="004F1A23" w:rsidRPr="00A77B17" w:rsidRDefault="004F1A23" w:rsidP="004F1A23">
      <w:pPr>
        <w:pStyle w:val="Nagwek11"/>
        <w:suppressAutoHyphens/>
        <w:spacing w:after="0"/>
        <w:jc w:val="both"/>
        <w:rPr>
          <w:sz w:val="20"/>
          <w:szCs w:val="20"/>
        </w:rPr>
      </w:pPr>
    </w:p>
    <w:p w14:paraId="188F10AB" w14:textId="77777777" w:rsidR="004F1A23" w:rsidRPr="00A77B17" w:rsidRDefault="004F1A23" w:rsidP="004F1A23">
      <w:pPr>
        <w:pStyle w:val="Nagwek11"/>
        <w:suppressAutoHyphens/>
        <w:spacing w:after="0"/>
        <w:jc w:val="both"/>
        <w:rPr>
          <w:sz w:val="20"/>
          <w:szCs w:val="20"/>
        </w:rPr>
      </w:pPr>
    </w:p>
    <w:p w14:paraId="437F30EF" w14:textId="77777777" w:rsidR="004F1A23" w:rsidRPr="00325656" w:rsidRDefault="004F1A23" w:rsidP="004F1A23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bookmarkEnd w:id="17"/>
    <w:p w14:paraId="01851F3D" w14:textId="77777777" w:rsidR="004F1A23" w:rsidRPr="005E293A" w:rsidRDefault="004F1A23" w:rsidP="004F1A23">
      <w:pPr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B0C158A" w14:textId="77777777" w:rsidR="004F1A23" w:rsidRPr="005E293A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E293A">
        <w:rPr>
          <w:rFonts w:ascii="Times New Roman" w:eastAsia="Times New Roman" w:hAnsi="Times New Roman"/>
          <w:b/>
          <w:sz w:val="20"/>
          <w:szCs w:val="20"/>
          <w:lang w:eastAsia="pl-PL"/>
        </w:rPr>
        <w:t>1.2. Zakres stosowania ST</w:t>
      </w:r>
    </w:p>
    <w:p w14:paraId="49A339AF" w14:textId="77777777" w:rsidR="004F1A23" w:rsidRPr="005E293A" w:rsidRDefault="004F1A23" w:rsidP="004F1A23">
      <w:pPr>
        <w:ind w:firstLine="709"/>
        <w:rPr>
          <w:rFonts w:ascii="Times New Roman" w:eastAsia="Aptos" w:hAnsi="Times New Roman"/>
          <w:sz w:val="20"/>
          <w:szCs w:val="20"/>
          <w:lang w:eastAsia="pl-PL"/>
        </w:rPr>
      </w:pPr>
      <w:bookmarkStart w:id="18" w:name="_Hlk191034582"/>
      <w:r w:rsidRPr="005E293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5E293A">
        <w:rPr>
          <w:rFonts w:ascii="Times New Roman" w:eastAsia="Aptos" w:hAnsi="Times New Roman"/>
          <w:sz w:val="20"/>
          <w:szCs w:val="20"/>
          <w:lang w:eastAsia="pl-PL"/>
        </w:rPr>
        <w:t xml:space="preserve">Niniejsza specyfikacja techniczna (ST) stanowi </w:t>
      </w:r>
      <w:r>
        <w:rPr>
          <w:rFonts w:ascii="Times New Roman" w:eastAsia="Aptos" w:hAnsi="Times New Roman"/>
          <w:sz w:val="20"/>
          <w:szCs w:val="20"/>
          <w:lang w:eastAsia="pl-PL"/>
        </w:rPr>
        <w:t xml:space="preserve">dokument przetargowy i kontraktowy </w:t>
      </w:r>
      <w:r w:rsidRPr="005E293A">
        <w:rPr>
          <w:rFonts w:ascii="Times New Roman" w:eastAsia="Aptos" w:hAnsi="Times New Roman"/>
          <w:sz w:val="20"/>
          <w:szCs w:val="20"/>
          <w:lang w:eastAsia="pl-PL"/>
        </w:rPr>
        <w:t xml:space="preserve"> przy realizacji i odbiorze robót drogowych realizowanych na zlecenie Mazowieckiego Zarządu Dróg Wojewódzkich w Warszawie na terenie Rejonu Drogowego Otwock – Piaseczno.</w:t>
      </w:r>
    </w:p>
    <w:bookmarkEnd w:id="18"/>
    <w:p w14:paraId="15E8B8D5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1.3. Zakres robót objętych ST</w:t>
      </w:r>
    </w:p>
    <w:p w14:paraId="1C077715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Ustalenia zawarte w niniejszej specyfikacji dotyczą zasad prowadzenia robót związanych z rozbiórką:</w:t>
      </w:r>
    </w:p>
    <w:p w14:paraId="657020D7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warstw nawierzchni,</w:t>
      </w:r>
    </w:p>
    <w:p w14:paraId="19A8CB7F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krawężników, obrzeży i oporników,</w:t>
      </w:r>
    </w:p>
    <w:p w14:paraId="7B93967C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ścieków,</w:t>
      </w:r>
    </w:p>
    <w:p w14:paraId="6800FA98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chodników,</w:t>
      </w:r>
    </w:p>
    <w:p w14:paraId="089A9AA0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ogrodzeń,</w:t>
      </w:r>
    </w:p>
    <w:p w14:paraId="2E2A93D7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barier i poręczy,</w:t>
      </w:r>
    </w:p>
    <w:p w14:paraId="32765CEC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znaków drogowych,</w:t>
      </w:r>
    </w:p>
    <w:p w14:paraId="01D79DF5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przepustów: betonowych, żelbetowych, kamiennych, ceglanych itp.</w:t>
      </w:r>
    </w:p>
    <w:p w14:paraId="47D379C6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1.4. Określenia podstawowe</w:t>
      </w:r>
    </w:p>
    <w:p w14:paraId="16F37C7F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Stosowane określenia podstawowe są zgodne z obowiązującymi, odpowiednimi polskimi normami oraz z definicjami podanymi w OST D-M-00.00.00 „Wymagania ogólne” pkt 1.4.</w:t>
      </w:r>
    </w:p>
    <w:p w14:paraId="15FBDD45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1.5. Ogólne wymagania dotyczące robót</w:t>
      </w:r>
    </w:p>
    <w:p w14:paraId="7A645E54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14:paraId="7783BA8B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2. MATERIAŁY</w:t>
      </w:r>
    </w:p>
    <w:p w14:paraId="1398546B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2.1. Ogólne wymagania dotyczące materiałów</w:t>
      </w:r>
    </w:p>
    <w:p w14:paraId="55EB5254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Ogólne wymagania dotyczące materiałów, ich pozyskiwania i składowania, podano w OST D-M-00.00.00 „Wymagania ogólne” pkt 2.</w:t>
      </w:r>
    </w:p>
    <w:p w14:paraId="3FC248F7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2.2. Rusztowania</w:t>
      </w:r>
    </w:p>
    <w:p w14:paraId="1B760D84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Rusztowania robocze przestawne przy rozbiórce przepustów mogą być wykonane z drewna lub rur stalowych w postaci:</w:t>
      </w:r>
    </w:p>
    <w:p w14:paraId="1AF13601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rusztowań kozłowych, wysokości od 1,0 do 1,5 m, składających się z leżni z bali (np. 12,5 x 12,5 cm), nóg z krawędziaków (np. 7,6 x 7,6 cm), stężeń (np. 3,2 x 12,5 cm) i pomostu z desek,</w:t>
      </w:r>
    </w:p>
    <w:p w14:paraId="32B18EEB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rusztowań drabinowych, składających się z drabin (np. długości 6 m, szerokości 52 cm), usztywnionych stężeniami z desek (np. 3,2 x 12,5 cm), na których szczeblach (np. 3,2 x 6,3 cm) układa się pomosty z desek,</w:t>
      </w:r>
    </w:p>
    <w:p w14:paraId="60C49CF1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przestawnych klatek </w:t>
      </w:r>
      <w:proofErr w:type="spellStart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rusztowaniowych</w:t>
      </w:r>
      <w:proofErr w:type="spellEnd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z rur stalowych średnicy od 38 do 63,5 mm, o wymiarach klatek około 1,2 x 1,5 m lub płaskich klatek </w:t>
      </w:r>
      <w:proofErr w:type="spellStart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rusztowaniowych</w:t>
      </w:r>
      <w:proofErr w:type="spellEnd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(np. z rur stalowych średnicy 108 mm i kątowników 45 x 45 x 5 mm i 70 x 70 x 7 mm), o wymiarach klatek około 1,1 x 1,5 m,</w:t>
      </w:r>
    </w:p>
    <w:p w14:paraId="71C5C601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rusztowań z rur stalowych średnicy od 33,5 do 76,1 mm połączonych łącznikami w ramownice i kratownice.</w:t>
      </w:r>
    </w:p>
    <w:p w14:paraId="4B4A0940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Rusztowanie należy wykonać z materiałów odpowiadających następującym normom:</w:t>
      </w:r>
    </w:p>
    <w:p w14:paraId="7251C3E0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drewno i tarcica wg PN-D-95017 [1], PN-D-96000 [2], PN-D-96002 [3] lub innej zaakceptowanej przez </w:t>
      </w:r>
      <w:bookmarkStart w:id="19" w:name="_Hlk191023967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In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spektora Nadzoru</w:t>
      </w:r>
      <w:bookmarkEnd w:id="19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45D44A3B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gwoździe wg BN-87/5028-12 [8],</w:t>
      </w:r>
    </w:p>
    <w:p w14:paraId="7C309BF6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rury stalowe wg PN-H-74219 [4], PN-H-74220 [5] lub innej zaakceptowanej przez In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spektora Nadzoru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6FDC2719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kątowniki wg PN-H-93401[6], PN-H-93402 [7] lub innej zaakceptowanej przez In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spektora Nadzoru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6BD4D84D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3. SPRZĘT</w:t>
      </w:r>
    </w:p>
    <w:p w14:paraId="5F7AE34E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3.1. Ogólne wymagania dotyczące sprzętu</w:t>
      </w:r>
    </w:p>
    <w:p w14:paraId="086EFF61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14:paraId="2547F020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3.2. Sprzęt do rozbiórki</w:t>
      </w:r>
    </w:p>
    <w:p w14:paraId="53D3C4D4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Do wykonania robót związanych z rozbiórką elementów dróg, ogrodzeń i przepustów może być wykorzystany sprzęt podany poniżej, lub inny zaakceptowany przez In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spektora Nadzoru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:</w:t>
      </w:r>
    </w:p>
    <w:p w14:paraId="7E32E49C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spycharki,</w:t>
      </w:r>
    </w:p>
    <w:p w14:paraId="01792E96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ładowarki,</w:t>
      </w:r>
    </w:p>
    <w:p w14:paraId="20FCD1FD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żurawie samochodowe,</w:t>
      </w:r>
    </w:p>
    <w:p w14:paraId="1E1091CF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samochody ciężarowe,</w:t>
      </w:r>
    </w:p>
    <w:p w14:paraId="7CB66855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zrywarki,</w:t>
      </w:r>
    </w:p>
    <w:p w14:paraId="7CCD7AED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młoty pneumatyczne,</w:t>
      </w:r>
    </w:p>
    <w:p w14:paraId="71F1C9DC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piły mechaniczne,</w:t>
      </w:r>
    </w:p>
    <w:p w14:paraId="63D9EF30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frezarki nawierzchni,</w:t>
      </w:r>
    </w:p>
    <w:p w14:paraId="3AB9DE6D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koparki.</w:t>
      </w:r>
    </w:p>
    <w:p w14:paraId="0796DB36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4. TRANSPORT</w:t>
      </w:r>
    </w:p>
    <w:p w14:paraId="41645167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4.1. Ogólne wymagania dotyczące transportu</w:t>
      </w:r>
    </w:p>
    <w:p w14:paraId="4093AB65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14:paraId="7C230666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4.2. Transport materiałów z rozbiórki</w:t>
      </w:r>
    </w:p>
    <w:p w14:paraId="66B9668C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Materiał z rozbiórki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, nie nadający się do ponownego wbudowania,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można przewozić dowolnym środkiem transportu.</w:t>
      </w:r>
    </w:p>
    <w:p w14:paraId="719FED7C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5. WYKONANIE ROBÓT</w:t>
      </w:r>
    </w:p>
    <w:p w14:paraId="1F66AC14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5.1. Ogólne zasady wykonania robót</w:t>
      </w:r>
    </w:p>
    <w:p w14:paraId="40E442D3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14:paraId="0FE45E0A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5.2. Wykonanie robót rozbiórkowych</w:t>
      </w:r>
    </w:p>
    <w:p w14:paraId="46F860C0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Roboty rozbiórkowe elementów dróg, ogrodzeń i przepustów obejmują usunięcie z terenu budowy wszystkich elementów wymienionych w pkt 1.3, zgodnie z dokumentacją projektową, SST lub wskazanych przez In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spektora Nadzoru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41A48BA7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ab/>
        <w:t>Jeśli dokumentacja projektowa nie zawiera dokumentacji inwentaryzacyjnej lub/i rozbiórkowej, In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spektor Nadzoru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może polecić Wykonawcy sporządzenie takiej dokumentacji, w której zostanie określony przewidziany odzysk materiałów.</w:t>
      </w:r>
    </w:p>
    <w:p w14:paraId="608E60B4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Roboty rozbiórkowe można wykonywać mechanicznie lub ręcznie w sposób określony w SST lub przez</w:t>
      </w:r>
      <w:r w:rsidRPr="00A72F54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In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spektora Nadzoru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.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Materiały z rozbiórki do ponownego wykorzystania należy oczyścić, ułożyć na paletach i zabezpieczyć przed uszkodzeniem.</w:t>
      </w:r>
    </w:p>
    <w:p w14:paraId="5120CDD4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W przypadku usuwania warstw nawierzchni z zastosowaniem frezarek drogowych, należy spełnić warunki określone w OST D-05.03.11 „Recykling”.</w:t>
      </w:r>
    </w:p>
    <w:p w14:paraId="72852231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W przypadku robót rozbiórkowych przepustu należy dokonać:</w:t>
      </w:r>
    </w:p>
    <w:p w14:paraId="787DAC61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odkopania przepustu,</w:t>
      </w:r>
    </w:p>
    <w:p w14:paraId="084B0BBD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ew. ustawienia przenośnych rusztowań przy przepustach wyższych od około 2 m,</w:t>
      </w:r>
    </w:p>
    <w:p w14:paraId="420E06EF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rozbicia elementów, których nie przewiduje się odzyskać, w sposób ręczny lub mechaniczny z ew. przecięciem prętów zbrojeniowych i ich odgięciem,</w:t>
      </w:r>
    </w:p>
    <w:p w14:paraId="2F2CDE49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675859BA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oczyszczenia rozebranych elementów, przewidzianych do powtórnego użycia (z zaprawy, kawałków betonu, izolacji itp.) i ich posortowania.</w:t>
      </w:r>
    </w:p>
    <w:p w14:paraId="43773226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</w:t>
      </w:r>
      <w:r w:rsidRPr="00A72F54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In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spektora Nadzoru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.</w:t>
      </w:r>
    </w:p>
    <w:p w14:paraId="4ECBC621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Elementy i materiały, które zgodnie z SST stają się własnością Wykonawcy, powinny być usunięte z terenu budowy.</w:t>
      </w:r>
    </w:p>
    <w:p w14:paraId="7A7CB029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1C7EFC5F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14:paraId="4EA49C81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6. KONTROLA JAKOŚCI ROBÓT</w:t>
      </w:r>
    </w:p>
    <w:p w14:paraId="1C14F275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6.1. Ogólne zasady kontroli jakości robót</w:t>
      </w:r>
    </w:p>
    <w:p w14:paraId="6AA63410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14:paraId="0528478C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6.2. Kontrola jakości robót rozbiórkowych</w:t>
      </w:r>
    </w:p>
    <w:p w14:paraId="754D7164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14:paraId="3703F7A0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14:paraId="2E3F76FD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7. OBMIAR ROBÓT</w:t>
      </w:r>
    </w:p>
    <w:p w14:paraId="53C494C9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7.1. Ogólne zasady obmiaru robót</w:t>
      </w:r>
    </w:p>
    <w:p w14:paraId="378CCACC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Ogólne zasady obmiaru robót podano w OST D-M-00.00.00 „Wymagania ogólne”     pkt 7.</w:t>
      </w:r>
    </w:p>
    <w:p w14:paraId="2F4CBD8A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>7.2. Jednostka obmiarowa</w:t>
      </w:r>
    </w:p>
    <w:p w14:paraId="2E103146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Jednostką obmiarową robót związanych z rozbiórką elementów dróg i ogrodzeń jest:</w:t>
      </w:r>
    </w:p>
    <w:p w14:paraId="3E3F119D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dla nawierzchni i chodnika - m</w:t>
      </w:r>
      <w:r w:rsidRPr="00A75F14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(metr kwadratowy),</w:t>
      </w:r>
    </w:p>
    <w:p w14:paraId="14937CF2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dla krawężnika, opornika, obrzeża, ścieków prefabrykowanych, ogrodzeń, barier i poręczy - m (metr),</w:t>
      </w:r>
    </w:p>
    <w:p w14:paraId="792CF945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dla znaków drogowych - szt. (sztuka),</w:t>
      </w:r>
    </w:p>
    <w:p w14:paraId="4D63D675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dla przepustów i ich elementów</w:t>
      </w:r>
    </w:p>
    <w:p w14:paraId="0A27333A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a) betonowych, kamiennych, ceglanych - m</w:t>
      </w:r>
      <w:r w:rsidRPr="00A75F14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3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(metr sześcienny),</w:t>
      </w:r>
    </w:p>
    <w:p w14:paraId="1CE5010E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b) prefabrykowanych betonowych, żelbetowych - m (metr).</w:t>
      </w:r>
    </w:p>
    <w:p w14:paraId="1866266B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8. ODBIÓR ROBÓT</w:t>
      </w:r>
    </w:p>
    <w:p w14:paraId="21DC906B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Ogólne zasady odbioru robót podano w OST D-M-00.00.00 „Wymagania ogólne”            pkt 8.</w:t>
      </w:r>
    </w:p>
    <w:p w14:paraId="259D1F88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9. PODSTAWA PŁATNOŚCI</w:t>
      </w:r>
    </w:p>
    <w:p w14:paraId="17CF62E6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9.1. Ogólne ustalenia dotyczące podstawy płatności</w:t>
      </w:r>
    </w:p>
    <w:p w14:paraId="0A11D7C4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14:paraId="698F353F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9.2. Cena jednostki obmiarowej</w:t>
      </w:r>
    </w:p>
    <w:p w14:paraId="35FA90D2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ab/>
        <w:t>Cena wykonania robót obejmuje:</w:t>
      </w:r>
    </w:p>
    <w:p w14:paraId="6892A772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a) dla rozbiórki warstw nawierzchni:</w:t>
      </w:r>
    </w:p>
    <w:p w14:paraId="5D2EB47A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wyznaczenie powierzchni przeznaczonej do rozbiórki,</w:t>
      </w:r>
    </w:p>
    <w:p w14:paraId="63CE9405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rozkucie i zerwanie nawierzchni,</w:t>
      </w:r>
    </w:p>
    <w:p w14:paraId="07116CA5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ew. przesortowanie materiału uzyskanego z rozbiórki, w celu ponownego jej użycia, z ułożeniem na poboczu,</w:t>
      </w:r>
    </w:p>
    <w:p w14:paraId="4281ADD7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załadunek i wywiezienie materiałów z rozbiórki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wraz z jego utylizacją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03F6D7EB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wyrównanie podłoża i uporządkowanie terenu rozbiórki;</w:t>
      </w:r>
    </w:p>
    <w:p w14:paraId="2FC5F870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b) dla rozbiórki krawężników, obrzeży i oporników:</w:t>
      </w:r>
    </w:p>
    <w:p w14:paraId="58D89EA7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odkopanie krawężników, obrzeży i oporników wraz z wyjęciem i oczyszczeniem,</w:t>
      </w:r>
    </w:p>
    <w:p w14:paraId="094B4ED4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zerwanie podsypki cementowo-piaskowej i ew. ław,</w:t>
      </w:r>
    </w:p>
    <w:p w14:paraId="291BCC8C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załadunek i wywiezienie materiału z rozbiórki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bookmarkStart w:id="20" w:name="_Hlk191024617"/>
      <w:r>
        <w:rPr>
          <w:rFonts w:ascii="Times New Roman" w:eastAsia="Times New Roman" w:hAnsi="Times New Roman"/>
          <w:sz w:val="20"/>
          <w:szCs w:val="20"/>
          <w:lang w:eastAsia="pl-PL"/>
        </w:rPr>
        <w:t>nie nadającego się do ponownego wykorzystania wraz z jego utylizacją</w:t>
      </w:r>
      <w:bookmarkEnd w:id="20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2A82CCCF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wyrównanie podłoża i uporządkowanie terenu rozbiórki;</w:t>
      </w:r>
    </w:p>
    <w:p w14:paraId="76F7F2A5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c) dla rozbiórki ścieku:</w:t>
      </w:r>
    </w:p>
    <w:p w14:paraId="21248ECB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odsłonięcie ścieku,</w:t>
      </w:r>
    </w:p>
    <w:p w14:paraId="1286B620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ręczne wyjęcie elementów ściekowych wraz z oczyszczeniem,</w:t>
      </w:r>
    </w:p>
    <w:p w14:paraId="55059BD3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ew. przesortowanie materiału uzyskanego z rozbiórki, w celu ponownego jego użycia, z ułożeniem na poboczu,</w:t>
      </w:r>
    </w:p>
    <w:p w14:paraId="5337E251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zerwanie podsypki cementowo-piaskowej,</w:t>
      </w:r>
    </w:p>
    <w:p w14:paraId="21F21026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uzupełnienie i wyrównanie podłoża,</w:t>
      </w:r>
    </w:p>
    <w:p w14:paraId="5E6249A9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załadunek i wywóz materiałów z rozbiórki</w:t>
      </w:r>
      <w:r w:rsidRPr="00C371FE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nie nadającego się do ponownego wykorzystania wraz z jego utylizacją 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7BB0B9A6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uporządkowanie terenu rozbiórki;</w:t>
      </w:r>
    </w:p>
    <w:p w14:paraId="45CF0CAA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d) dla rozbiórki chodników:</w:t>
      </w:r>
    </w:p>
    <w:p w14:paraId="3325BD3C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ręczne wyjęcie płyt chodnikowych, lub rozkucie i zerwanie innych materiałów chodnikowych,</w:t>
      </w:r>
    </w:p>
    <w:p w14:paraId="49D97AB7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ew. przesortowanie materiału uzyskanego z rozbiórki w celu ponownego jego użycia, z ułożeniem na poboczu,</w:t>
      </w:r>
    </w:p>
    <w:p w14:paraId="3745A91B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zerwanie podsypki cementowo-piaskowej,</w:t>
      </w:r>
    </w:p>
    <w:p w14:paraId="0675367F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załadunek i wywiezienie materiałów z rozbiórki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nie nadającego się do ponownego wykorzystania wraz z jego utylizacją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59B856C4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wyrównanie podłoża i uporządkowanie terenu rozbiórki;</w:t>
      </w:r>
    </w:p>
    <w:p w14:paraId="0FE572A0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e) dla rozbiórki ogrodzeń:</w:t>
      </w:r>
    </w:p>
    <w:p w14:paraId="706B1A4C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demontaż elementów ogrodzenia,</w:t>
      </w:r>
    </w:p>
    <w:p w14:paraId="57DCBBF6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odkopanie i wydobycie słupków wraz z fundamentem,</w:t>
      </w:r>
    </w:p>
    <w:p w14:paraId="4A23AB00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zasypanie dołów po słupkach z zagęszczeniem do uzyskania </w:t>
      </w:r>
      <w:proofErr w:type="spellStart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Is</w:t>
      </w:r>
      <w:proofErr w:type="spellEnd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3"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1,00 wg BN-77/8931-12 [9],</w:t>
      </w:r>
    </w:p>
    <w:p w14:paraId="556408A6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ew. przesortowanie materiału uzyskanego z rozbiórki, w celu ponownego jego użycia, z ułożeniem w stosy na poboczu,</w:t>
      </w:r>
    </w:p>
    <w:p w14:paraId="79ACA67D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załadunek i wywiezienie materiałów z rozbiórki</w:t>
      </w:r>
      <w:r w:rsidRPr="00C371FE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nie nadającego się do ponownego wykorzystania wraz z jego utylizacją 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6F7BEF9C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uporządkowanie terenu rozbiórki;</w:t>
      </w:r>
    </w:p>
    <w:p w14:paraId="00A42A96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f) dla rozbiórki barier i poręczy:</w:t>
      </w:r>
    </w:p>
    <w:p w14:paraId="35027A29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demontaż elementów bariery lub poręczy,</w:t>
      </w:r>
    </w:p>
    <w:p w14:paraId="3B153D2E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odkopanie i wydobycie słupków wraz z fundamentem,</w:t>
      </w:r>
    </w:p>
    <w:p w14:paraId="38D8DB3A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Is</w:t>
      </w:r>
      <w:proofErr w:type="spellEnd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3"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1,00 wg BN-77/8931-12 [9],</w:t>
      </w:r>
    </w:p>
    <w:p w14:paraId="725F0334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załadunek i wywiezienie materiałów z rozbiórki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miejsce wskazane przez Inspektora Nadzoru na terenie bazy Rejonu Drogowego Otwock - Piaseczno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420AD881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uporządkowanie terenu rozbiórki;</w:t>
      </w:r>
    </w:p>
    <w:p w14:paraId="35209505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g) dla rozbiórki znaków drogowych:</w:t>
      </w:r>
    </w:p>
    <w:p w14:paraId="3E01B795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demontaż tablic znaków drogowych ze słupków,</w:t>
      </w:r>
    </w:p>
    <w:p w14:paraId="62ECB601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odkopanie i wydobycie słupków,</w:t>
      </w:r>
    </w:p>
    <w:p w14:paraId="2E0F2D44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Is</w:t>
      </w:r>
      <w:proofErr w:type="spellEnd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3"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1,00 wg BN-77/8931-12 [9],</w:t>
      </w:r>
    </w:p>
    <w:p w14:paraId="17484892" w14:textId="77777777" w:rsidR="004F1A23" w:rsidRPr="00C371FE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załadunek i wywiezienie materiałów z rozbiórki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miejsce wskazane przez Inspektora Nadzoru na terenie bazy Rejonu Drogowego Otwock - Piaseczno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4B14CBBA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uporządkowanie terenu rozbiórki;</w:t>
      </w:r>
    </w:p>
    <w:p w14:paraId="77D86B5E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h) dla rozbiórki przepustu:</w:t>
      </w:r>
    </w:p>
    <w:p w14:paraId="449BFC52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odkopanie przepustu, fundamentów, ław, umocnień itp.,</w:t>
      </w:r>
    </w:p>
    <w:p w14:paraId="2F2BA357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ew. ustawienie rusztowań i ich późniejsze rozebranie,</w:t>
      </w:r>
    </w:p>
    <w:p w14:paraId="38261A5F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rozebranie elementów przepustu,</w:t>
      </w:r>
    </w:p>
    <w:p w14:paraId="28CE7938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sortowanie i pryzmowanie odzyskanych materiałów,</w:t>
      </w:r>
    </w:p>
    <w:p w14:paraId="140D107E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załadunek i wywiezienie materiałów z rozbiórki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wraz z jego utylizacją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543E7F9F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zasypanie dołów (wykopów) gruntem z zagęszczeniem do uzyskania </w:t>
      </w:r>
      <w:proofErr w:type="spellStart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Is</w:t>
      </w:r>
      <w:proofErr w:type="spellEnd"/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3"/>
      </w: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 xml:space="preserve"> 1,00 wg BN-77/8931-12 [9],</w:t>
      </w:r>
    </w:p>
    <w:p w14:paraId="7CB2EC65" w14:textId="77777777" w:rsidR="004F1A23" w:rsidRPr="00A75F1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sz w:val="20"/>
          <w:szCs w:val="20"/>
          <w:lang w:eastAsia="pl-PL"/>
        </w:rPr>
        <w:t>uporządkowanie terenu rozbiórki.</w:t>
      </w:r>
    </w:p>
    <w:p w14:paraId="0BFF064C" w14:textId="77777777" w:rsidR="004F1A23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723E5A2" w14:textId="4DB0A036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10. PRZEPISY ZWIĄZANE</w:t>
      </w:r>
    </w:p>
    <w:p w14:paraId="372D7D4D" w14:textId="77777777" w:rsidR="004F1A23" w:rsidRPr="00A75F1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5F14">
        <w:rPr>
          <w:rFonts w:ascii="Times New Roman" w:eastAsia="Times New Roman" w:hAnsi="Times New Roman"/>
          <w:b/>
          <w:sz w:val="20"/>
          <w:szCs w:val="20"/>
          <w:lang w:eastAsia="pl-PL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4394"/>
      </w:tblGrid>
      <w:tr w:rsidR="004F1A23" w:rsidRPr="00A75F14" w14:paraId="23C82829" w14:textId="77777777" w:rsidTr="00474F9C">
        <w:tc>
          <w:tcPr>
            <w:tcW w:w="496" w:type="dxa"/>
            <w:hideMark/>
          </w:tcPr>
          <w:p w14:paraId="672CB9C7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hideMark/>
          </w:tcPr>
          <w:p w14:paraId="39DFFA15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PN-D-95017</w:t>
            </w:r>
          </w:p>
        </w:tc>
        <w:tc>
          <w:tcPr>
            <w:tcW w:w="4394" w:type="dxa"/>
            <w:hideMark/>
          </w:tcPr>
          <w:p w14:paraId="6089DBF5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Surowiec drzewny. Drewno tartaczne iglaste.</w:t>
            </w:r>
          </w:p>
        </w:tc>
      </w:tr>
      <w:tr w:rsidR="004F1A23" w:rsidRPr="00A75F14" w14:paraId="62439813" w14:textId="77777777" w:rsidTr="00474F9C">
        <w:tc>
          <w:tcPr>
            <w:tcW w:w="496" w:type="dxa"/>
            <w:hideMark/>
          </w:tcPr>
          <w:p w14:paraId="50B984C9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551" w:type="dxa"/>
            <w:hideMark/>
          </w:tcPr>
          <w:p w14:paraId="7827EF54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PN-D-96000</w:t>
            </w:r>
          </w:p>
        </w:tc>
        <w:tc>
          <w:tcPr>
            <w:tcW w:w="4394" w:type="dxa"/>
            <w:hideMark/>
          </w:tcPr>
          <w:p w14:paraId="2F156154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Tarcica iglasta ogólnego przeznaczenia</w:t>
            </w:r>
          </w:p>
        </w:tc>
      </w:tr>
      <w:tr w:rsidR="004F1A23" w:rsidRPr="00A75F14" w14:paraId="1AC58633" w14:textId="77777777" w:rsidTr="00474F9C">
        <w:tc>
          <w:tcPr>
            <w:tcW w:w="496" w:type="dxa"/>
            <w:hideMark/>
          </w:tcPr>
          <w:p w14:paraId="562DF275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51" w:type="dxa"/>
            <w:hideMark/>
          </w:tcPr>
          <w:p w14:paraId="3BBB5F60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PN-D-96002</w:t>
            </w:r>
          </w:p>
        </w:tc>
        <w:tc>
          <w:tcPr>
            <w:tcW w:w="4394" w:type="dxa"/>
            <w:hideMark/>
          </w:tcPr>
          <w:p w14:paraId="1E46BCCB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Tarcica liściasta ogólnego przeznaczenia</w:t>
            </w:r>
          </w:p>
        </w:tc>
      </w:tr>
      <w:tr w:rsidR="004F1A23" w:rsidRPr="00A75F14" w14:paraId="1773A413" w14:textId="77777777" w:rsidTr="00474F9C">
        <w:tc>
          <w:tcPr>
            <w:tcW w:w="496" w:type="dxa"/>
            <w:hideMark/>
          </w:tcPr>
          <w:p w14:paraId="26BA0CD3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51" w:type="dxa"/>
            <w:hideMark/>
          </w:tcPr>
          <w:p w14:paraId="4A8ABA44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PN-H-74219</w:t>
            </w:r>
          </w:p>
        </w:tc>
        <w:tc>
          <w:tcPr>
            <w:tcW w:w="4394" w:type="dxa"/>
            <w:hideMark/>
          </w:tcPr>
          <w:p w14:paraId="4718A4B6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Rury stalowe bez szwu walcowane na gorąco ogólnego stosowania</w:t>
            </w:r>
          </w:p>
        </w:tc>
      </w:tr>
      <w:tr w:rsidR="004F1A23" w:rsidRPr="00A75F14" w14:paraId="471F727D" w14:textId="77777777" w:rsidTr="00474F9C">
        <w:tc>
          <w:tcPr>
            <w:tcW w:w="496" w:type="dxa"/>
            <w:hideMark/>
          </w:tcPr>
          <w:p w14:paraId="4A6A2B18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51" w:type="dxa"/>
            <w:hideMark/>
          </w:tcPr>
          <w:p w14:paraId="6604086A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PN-H-74220</w:t>
            </w:r>
          </w:p>
        </w:tc>
        <w:tc>
          <w:tcPr>
            <w:tcW w:w="4394" w:type="dxa"/>
            <w:hideMark/>
          </w:tcPr>
          <w:p w14:paraId="43C3BC66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Rury stalowe bez szwu ciągnione i walcowane na zimno ogólnego przeznaczenia</w:t>
            </w:r>
          </w:p>
        </w:tc>
      </w:tr>
      <w:tr w:rsidR="004F1A23" w:rsidRPr="00A75F14" w14:paraId="5BE45C5E" w14:textId="77777777" w:rsidTr="00474F9C">
        <w:tc>
          <w:tcPr>
            <w:tcW w:w="496" w:type="dxa"/>
            <w:hideMark/>
          </w:tcPr>
          <w:p w14:paraId="1C7812A8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51" w:type="dxa"/>
            <w:hideMark/>
          </w:tcPr>
          <w:p w14:paraId="45708A6D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PN-H-93401</w:t>
            </w:r>
          </w:p>
        </w:tc>
        <w:tc>
          <w:tcPr>
            <w:tcW w:w="4394" w:type="dxa"/>
            <w:hideMark/>
          </w:tcPr>
          <w:p w14:paraId="097B57CF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Stal walcowana. Kątowniki równoramienne</w:t>
            </w:r>
          </w:p>
        </w:tc>
      </w:tr>
      <w:tr w:rsidR="004F1A23" w:rsidRPr="00A75F14" w14:paraId="0868D0BE" w14:textId="77777777" w:rsidTr="00474F9C">
        <w:tc>
          <w:tcPr>
            <w:tcW w:w="496" w:type="dxa"/>
            <w:hideMark/>
          </w:tcPr>
          <w:p w14:paraId="62B85684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51" w:type="dxa"/>
            <w:hideMark/>
          </w:tcPr>
          <w:p w14:paraId="54DBF406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PN-H-93402</w:t>
            </w:r>
          </w:p>
        </w:tc>
        <w:tc>
          <w:tcPr>
            <w:tcW w:w="4394" w:type="dxa"/>
            <w:hideMark/>
          </w:tcPr>
          <w:p w14:paraId="152D5D81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Kątowniki nierównoramienne stalowe walcowane na gorąco</w:t>
            </w:r>
          </w:p>
        </w:tc>
      </w:tr>
      <w:tr w:rsidR="004F1A23" w:rsidRPr="00A75F14" w14:paraId="737A7CC5" w14:textId="77777777" w:rsidTr="00474F9C">
        <w:tc>
          <w:tcPr>
            <w:tcW w:w="496" w:type="dxa"/>
            <w:hideMark/>
          </w:tcPr>
          <w:p w14:paraId="381CC950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51" w:type="dxa"/>
            <w:hideMark/>
          </w:tcPr>
          <w:p w14:paraId="4363D60F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BN-87/5028-12</w:t>
            </w:r>
          </w:p>
        </w:tc>
        <w:tc>
          <w:tcPr>
            <w:tcW w:w="4394" w:type="dxa"/>
            <w:hideMark/>
          </w:tcPr>
          <w:p w14:paraId="6817C8AD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Gwoździe budowlane. Gwoździe z trzpieniem gładkim, okrągłym i kwadratowym</w:t>
            </w:r>
          </w:p>
        </w:tc>
      </w:tr>
      <w:tr w:rsidR="004F1A23" w:rsidRPr="00A75F14" w14:paraId="127C798A" w14:textId="77777777" w:rsidTr="00474F9C">
        <w:tc>
          <w:tcPr>
            <w:tcW w:w="496" w:type="dxa"/>
            <w:hideMark/>
          </w:tcPr>
          <w:p w14:paraId="3D118F4C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51" w:type="dxa"/>
            <w:hideMark/>
          </w:tcPr>
          <w:p w14:paraId="65B328A7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4394" w:type="dxa"/>
            <w:hideMark/>
          </w:tcPr>
          <w:p w14:paraId="252B8AE7" w14:textId="77777777" w:rsidR="004F1A23" w:rsidRPr="00A75F1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5F1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wskaźnika zagęszczenia gruntu.</w:t>
            </w:r>
          </w:p>
        </w:tc>
      </w:tr>
    </w:tbl>
    <w:p w14:paraId="4C4F70C2" w14:textId="77777777" w:rsidR="004F1A23" w:rsidRPr="000F78AC" w:rsidRDefault="004F1A23" w:rsidP="004F1A23">
      <w:pPr>
        <w:spacing w:after="0" w:line="360" w:lineRule="auto"/>
        <w:rPr>
          <w:lang w:eastAsia="pl-PL"/>
        </w:rPr>
      </w:pPr>
    </w:p>
    <w:p w14:paraId="1EA5A336" w14:textId="77777777" w:rsidR="004F1A23" w:rsidRDefault="004F1A23" w:rsidP="004F1A23">
      <w:pPr>
        <w:pStyle w:val="Nagwek1"/>
        <w:spacing w:before="0" w:line="360" w:lineRule="auto"/>
        <w:ind w:left="1020" w:hanging="340"/>
        <w:rPr>
          <w:rFonts w:ascii="Times New Roman" w:hAnsi="Times New Roman"/>
          <w:sz w:val="20"/>
          <w:szCs w:val="20"/>
        </w:rPr>
      </w:pPr>
    </w:p>
    <w:p w14:paraId="53731533" w14:textId="77777777" w:rsidR="004F1A23" w:rsidRDefault="004F1A23" w:rsidP="004F1A23">
      <w:pPr>
        <w:pStyle w:val="Nagwek1"/>
        <w:spacing w:before="0" w:line="360" w:lineRule="auto"/>
        <w:ind w:left="1020" w:hanging="340"/>
        <w:rPr>
          <w:rFonts w:ascii="Times New Roman" w:hAnsi="Times New Roman"/>
          <w:sz w:val="20"/>
          <w:szCs w:val="20"/>
        </w:rPr>
      </w:pPr>
    </w:p>
    <w:p w14:paraId="0101236B" w14:textId="77777777" w:rsidR="004F1A23" w:rsidRDefault="004F1A23" w:rsidP="004F1A23">
      <w:pPr>
        <w:pStyle w:val="Nagwek1"/>
        <w:spacing w:before="0" w:line="360" w:lineRule="auto"/>
        <w:ind w:left="1020" w:hanging="340"/>
        <w:rPr>
          <w:rFonts w:ascii="Times New Roman" w:hAnsi="Times New Roman"/>
          <w:sz w:val="20"/>
          <w:szCs w:val="20"/>
        </w:rPr>
      </w:pPr>
    </w:p>
    <w:p w14:paraId="23B863D7" w14:textId="77777777" w:rsidR="004F1A23" w:rsidRDefault="004F1A23" w:rsidP="004F1A23">
      <w:pPr>
        <w:pStyle w:val="Nagwek1"/>
        <w:spacing w:before="0" w:line="360" w:lineRule="auto"/>
        <w:ind w:left="1020" w:hanging="340"/>
        <w:rPr>
          <w:rFonts w:ascii="Times New Roman" w:hAnsi="Times New Roman"/>
          <w:sz w:val="20"/>
          <w:szCs w:val="20"/>
        </w:rPr>
      </w:pPr>
    </w:p>
    <w:p w14:paraId="73DAE9C6" w14:textId="77777777" w:rsidR="004F1A23" w:rsidRDefault="004F1A23" w:rsidP="004F1A23">
      <w:pPr>
        <w:pStyle w:val="Nagwek1"/>
        <w:spacing w:before="0" w:line="360" w:lineRule="auto"/>
        <w:ind w:left="1020" w:hanging="340"/>
        <w:rPr>
          <w:rFonts w:ascii="Times New Roman" w:hAnsi="Times New Roman"/>
          <w:sz w:val="20"/>
          <w:szCs w:val="20"/>
        </w:rPr>
      </w:pPr>
    </w:p>
    <w:p w14:paraId="30473EE3" w14:textId="77777777" w:rsidR="004F1A23" w:rsidRDefault="004F1A23" w:rsidP="004F1A23">
      <w:pPr>
        <w:pStyle w:val="Nagwek1"/>
        <w:spacing w:before="0" w:line="360" w:lineRule="auto"/>
        <w:ind w:left="1020" w:hanging="340"/>
        <w:rPr>
          <w:rFonts w:ascii="Times New Roman" w:hAnsi="Times New Roman"/>
          <w:sz w:val="20"/>
          <w:szCs w:val="20"/>
        </w:rPr>
      </w:pPr>
    </w:p>
    <w:p w14:paraId="39E41297" w14:textId="77777777" w:rsidR="004F1A23" w:rsidRPr="004F1A23" w:rsidRDefault="004F1A23" w:rsidP="004F1A23"/>
    <w:sectPr w:rsidR="004F1A23" w:rsidRPr="004F1A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B4B72" w14:textId="77777777" w:rsidR="004F1A23" w:rsidRDefault="004F1A23" w:rsidP="004F1A23">
      <w:pPr>
        <w:spacing w:after="0" w:line="240" w:lineRule="auto"/>
      </w:pPr>
      <w:r>
        <w:separator/>
      </w:r>
    </w:p>
  </w:endnote>
  <w:endnote w:type="continuationSeparator" w:id="0">
    <w:p w14:paraId="62BB2295" w14:textId="77777777" w:rsidR="004F1A23" w:rsidRDefault="004F1A23" w:rsidP="004F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652100895"/>
      <w:docPartObj>
        <w:docPartGallery w:val="Page Numbers (Bottom of Page)"/>
        <w:docPartUnique/>
      </w:docPartObj>
    </w:sdtPr>
    <w:sdtEndPr/>
    <w:sdtContent>
      <w:p w14:paraId="3A672AA3" w14:textId="1FA67122" w:rsidR="004F1A23" w:rsidRDefault="004F1A2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5EB385" w14:textId="77777777" w:rsidR="004F1A23" w:rsidRDefault="004F1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36E4C" w14:textId="77777777" w:rsidR="004F1A23" w:rsidRDefault="004F1A23" w:rsidP="004F1A23">
      <w:pPr>
        <w:spacing w:after="0" w:line="240" w:lineRule="auto"/>
      </w:pPr>
      <w:r>
        <w:separator/>
      </w:r>
    </w:p>
  </w:footnote>
  <w:footnote w:type="continuationSeparator" w:id="0">
    <w:p w14:paraId="50FBF93B" w14:textId="77777777" w:rsidR="004F1A23" w:rsidRDefault="004F1A23" w:rsidP="004F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7083" w14:textId="69834814" w:rsidR="004F1A23" w:rsidRDefault="004F1A23">
    <w:pPr>
      <w:pStyle w:val="Nagwek"/>
    </w:pPr>
    <w:r>
      <w:rPr>
        <w:noProof/>
      </w:rPr>
      <w:drawing>
        <wp:inline distT="0" distB="0" distL="0" distR="0" wp14:anchorId="66FAD09C" wp14:editId="6C710706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175C7B"/>
    <w:multiLevelType w:val="hybridMultilevel"/>
    <w:tmpl w:val="B1CC7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5186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38364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3"/>
    <w:rsid w:val="003D4430"/>
    <w:rsid w:val="004F1A23"/>
    <w:rsid w:val="004F3802"/>
    <w:rsid w:val="00BF2FAD"/>
    <w:rsid w:val="00C20310"/>
    <w:rsid w:val="00CD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6E76B"/>
  <w15:chartTrackingRefBased/>
  <w15:docId w15:val="{4ABCC1D6-D81E-4889-80A1-23168AB7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Title 1"/>
    <w:basedOn w:val="Normalny"/>
    <w:next w:val="Normalny"/>
    <w:link w:val="Nagwek1Znak"/>
    <w:qFormat/>
    <w:rsid w:val="004F1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1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A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1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A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1A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1A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1A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1A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4F1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1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1A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A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1A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1A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1A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1A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1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1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1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1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1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1A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1A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1A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1A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1A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1A2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A23"/>
  </w:style>
  <w:style w:type="paragraph" w:styleId="Stopka">
    <w:name w:val="footer"/>
    <w:basedOn w:val="Normalny"/>
    <w:link w:val="Stopka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A23"/>
  </w:style>
  <w:style w:type="character" w:customStyle="1" w:styleId="Nagwek10">
    <w:name w:val="Nagłówek #1_"/>
    <w:link w:val="Nagwek11"/>
    <w:rsid w:val="004F1A23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F1A23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character" w:customStyle="1" w:styleId="Teksttreci3">
    <w:name w:val="Tekst treści (3)_"/>
    <w:link w:val="Teksttreci30"/>
    <w:rsid w:val="004F1A2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F1A23"/>
    <w:pPr>
      <w:widowControl w:val="0"/>
      <w:shd w:val="clear" w:color="auto" w:fill="FFFFFF"/>
      <w:spacing w:before="6720" w:after="0" w:line="1104" w:lineRule="exact"/>
      <w:ind w:hanging="280"/>
    </w:pPr>
    <w:rPr>
      <w:rFonts w:ascii="Times New Roman" w:eastAsia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1785</Words>
  <Characters>10714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2</cp:revision>
  <cp:lastPrinted>2025-03-28T11:43:00Z</cp:lastPrinted>
  <dcterms:created xsi:type="dcterms:W3CDTF">2025-04-01T07:54:00Z</dcterms:created>
  <dcterms:modified xsi:type="dcterms:W3CDTF">2025-04-01T07:54:00Z</dcterms:modified>
</cp:coreProperties>
</file>